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sz w:val="32"/>
        </w:rPr>
      </w:pPr>
    </w:p>
    <w:p>
      <w:pPr>
        <w:bidi w:val="0"/>
        <w:rPr>
          <w:rFonts w:hint="eastAsia" w:ascii="仿宋_GB2312" w:hAnsi="仿宋_GB2312" w:eastAsia="仿宋_GB2312" w:cs="Times New Roman"/>
          <w:kern w:val="2"/>
          <w:sz w:val="32"/>
          <w:szCs w:val="32"/>
          <w:lang w:val="en-US" w:eastAsia="zh-CN" w:bidi="ar-SA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ind w:left="0" w:leftChars="0" w:firstLine="0" w:firstLineChars="0"/>
        <w:jc w:val="center"/>
        <w:rPr>
          <w:rFonts w:hint="eastAsia" w:ascii="仿宋_GB2312" w:hAnsi="仿宋_GB2312" w:eastAsia="仿宋_GB2312" w:cs="仿宋_GB2312"/>
          <w:spacing w:val="-20"/>
          <w:sz w:val="32"/>
          <w:szCs w:val="32"/>
        </w:rPr>
      </w:pPr>
    </w:p>
    <w:p>
      <w:pPr>
        <w:bidi w:val="0"/>
        <w:ind w:left="0" w:leftChars="0" w:firstLine="0" w:firstLineChars="0"/>
        <w:jc w:val="center"/>
        <w:rPr>
          <w:rFonts w:hint="eastAsia"/>
          <w:lang w:val="en-US" w:eastAsia="zh-CN"/>
        </w:rPr>
      </w:pPr>
      <w:r>
        <w:rPr>
          <w:rFonts w:hint="eastAsia" w:ascii="仿宋_GB2312" w:hAnsi="仿宋_GB2312" w:eastAsia="仿宋_GB2312" w:cs="仿宋_GB2312"/>
          <w:spacing w:val="-20"/>
          <w:sz w:val="32"/>
          <w:szCs w:val="32"/>
        </w:rPr>
        <w:t>吉市（龙）环建（表）字〔20</w:t>
      </w:r>
      <w:r>
        <w:rPr>
          <w:rFonts w:hint="eastAsia" w:cs="仿宋_GB2312"/>
          <w:spacing w:val="-20"/>
          <w:sz w:val="32"/>
          <w:szCs w:val="32"/>
          <w:lang w:val="en-US" w:eastAsia="zh-CN"/>
        </w:rPr>
        <w:t>23</w:t>
      </w:r>
      <w:r>
        <w:rPr>
          <w:rFonts w:hint="eastAsia" w:ascii="仿宋_GB2312" w:hAnsi="仿宋_GB2312" w:eastAsia="仿宋_GB2312" w:cs="仿宋_GB2312"/>
          <w:spacing w:val="-20"/>
          <w:sz w:val="32"/>
          <w:szCs w:val="32"/>
        </w:rPr>
        <w:t>〕</w:t>
      </w:r>
      <w:r>
        <w:rPr>
          <w:rFonts w:hint="eastAsia" w:ascii="仿宋_GB2312" w:hAnsi="仿宋_GB2312" w:eastAsia="仿宋_GB2312" w:cs="仿宋_GB2312"/>
          <w:spacing w:val="-20"/>
          <w:sz w:val="32"/>
          <w:szCs w:val="32"/>
          <w:lang w:val="en-US" w:eastAsia="zh-CN"/>
        </w:rPr>
        <w:t>7</w:t>
      </w:r>
      <w:r>
        <w:rPr>
          <w:rFonts w:hint="eastAsia" w:ascii="仿宋_GB2312" w:hAnsi="仿宋_GB2312" w:eastAsia="仿宋_GB2312" w:cs="仿宋_GB2312"/>
          <w:spacing w:val="-20"/>
          <w:sz w:val="32"/>
          <w:szCs w:val="32"/>
        </w:rPr>
        <w:t>号</w:t>
      </w:r>
    </w:p>
    <w:p>
      <w:pPr>
        <w:bidi w:val="0"/>
        <w:ind w:left="0" w:leftChars="0" w:firstLine="0" w:firstLineChars="0"/>
        <w:jc w:val="both"/>
        <w:rPr>
          <w:rFonts w:hint="eastAsia" w:ascii="仿宋_GB2312" w:hAnsi="仿宋_GB2312" w:eastAsia="仿宋_GB2312" w:cs="仿宋_GB2312"/>
          <w:spacing w:val="-20"/>
          <w:sz w:val="32"/>
          <w:szCs w:val="32"/>
        </w:rPr>
      </w:pPr>
    </w:p>
    <w:p>
      <w:pPr>
        <w:spacing w:after="100" w:afterAutospacing="1" w:line="600" w:lineRule="exact"/>
        <w:jc w:val="center"/>
        <w:rPr>
          <w:rFonts w:hint="eastAsia" w:ascii="方正小标宋简体" w:hAnsi="方正小标宋简体" w:eastAsia="方正小标宋简体" w:cs="方正小标宋简体"/>
          <w:b w:val="0"/>
          <w:bCs/>
          <w:kern w:val="2"/>
          <w:sz w:val="44"/>
          <w:szCs w:val="44"/>
          <w:lang w:val="en-US" w:eastAsia="zh-CN" w:bidi="ar-SA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w w:val="90"/>
          <w:sz w:val="44"/>
          <w:szCs w:val="44"/>
          <w:lang w:eastAsia="zh-CN"/>
        </w:rPr>
        <w:t>关于</w:t>
      </w: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b w:val="0"/>
          <w:bCs w:val="0"/>
          <w:w w:val="90"/>
          <w:sz w:val="44"/>
          <w:szCs w:val="44"/>
        </w:rPr>
        <w:t>吉林市光源水泥制品有限公司扩建项目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w w:val="90"/>
          <w:sz w:val="44"/>
          <w:szCs w:val="44"/>
          <w:lang w:val="en-US" w:eastAsia="zh-CN"/>
        </w:rPr>
        <w:t xml:space="preserve">   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w w:val="90"/>
          <w:sz w:val="44"/>
          <w:szCs w:val="44"/>
        </w:rPr>
        <w:t>环境影响报告表的批复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jc w:val="left"/>
        <w:textAlignment w:val="auto"/>
        <w:rPr>
          <w:rFonts w:hint="eastAsia" w:ascii="仿宋_GB2312" w:hAnsi="Calibri" w:eastAsia="仿宋_GB2312" w:cs="Times New Roman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Calibri" w:eastAsia="仿宋_GB2312" w:cs="Times New Roman"/>
          <w:color w:val="auto"/>
          <w:kern w:val="2"/>
          <w:sz w:val="32"/>
          <w:szCs w:val="32"/>
          <w:lang w:val="en-US" w:eastAsia="zh-CN" w:bidi="ar-SA"/>
        </w:rPr>
        <w:t>吉林市光源水泥制品有限公司：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Calibri" w:eastAsia="仿宋_GB2312" w:cs="Times New Roman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Calibri" w:eastAsia="仿宋_GB2312" w:cs="Times New Roman"/>
          <w:color w:val="auto"/>
          <w:kern w:val="2"/>
          <w:sz w:val="32"/>
          <w:szCs w:val="32"/>
          <w:lang w:val="en-US" w:eastAsia="zh-CN" w:bidi="ar-SA"/>
        </w:rPr>
        <w:t>你单位《关于对〈吉林市光源水泥制品有限公司扩建项目环境影响报告表〉审查的申请》和委托</w:t>
      </w:r>
      <w:r>
        <w:rPr>
          <w:rFonts w:hint="eastAsia" w:hAnsi="Calibri" w:cs="Times New Roman"/>
          <w:color w:val="auto"/>
          <w:kern w:val="2"/>
          <w:sz w:val="32"/>
          <w:szCs w:val="32"/>
          <w:lang w:val="en-US" w:eastAsia="zh-CN" w:bidi="ar-SA"/>
        </w:rPr>
        <w:t>吉林化工学院</w:t>
      </w:r>
      <w:r>
        <w:rPr>
          <w:rFonts w:hint="eastAsia" w:ascii="仿宋_GB2312" w:hAnsi="Calibri" w:eastAsia="仿宋_GB2312" w:cs="Times New Roman"/>
          <w:color w:val="auto"/>
          <w:kern w:val="2"/>
          <w:sz w:val="32"/>
          <w:szCs w:val="32"/>
          <w:lang w:val="en-US" w:eastAsia="zh-CN" w:bidi="ar-SA"/>
        </w:rPr>
        <w:t xml:space="preserve">编制的《吉林市光源水泥制品有限公司扩建项目环境影响报告表》收悉。经研究，现批复如下：　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bidi w:val="0"/>
        <w:snapToGrid/>
        <w:spacing w:line="560" w:lineRule="exact"/>
        <w:jc w:val="left"/>
        <w:textAlignment w:val="auto"/>
        <w:rPr>
          <w:rFonts w:hint="eastAsia" w:ascii="仿宋_GB2312" w:eastAsia="仿宋_GB2312"/>
          <w:color w:val="auto"/>
          <w:sz w:val="32"/>
          <w:szCs w:val="32"/>
        </w:rPr>
      </w:pPr>
      <w:r>
        <w:rPr>
          <w:rFonts w:hint="eastAsia" w:ascii="仿宋_GB2312" w:hAnsi="Calibri" w:eastAsia="仿宋_GB2312" w:cs="Times New Roman"/>
          <w:color w:val="auto"/>
          <w:kern w:val="2"/>
          <w:sz w:val="32"/>
          <w:szCs w:val="32"/>
          <w:lang w:val="en-US" w:eastAsia="zh-CN" w:bidi="ar-SA"/>
        </w:rPr>
        <w:t>一、吉林市光源水泥制品有限公司位于吉林市龙潭区金珠</w:t>
      </w:r>
      <w:r>
        <w:rPr>
          <w:rFonts w:hint="eastAsia" w:hAnsi="Calibri" w:cs="Times New Roman"/>
          <w:color w:val="auto"/>
          <w:kern w:val="2"/>
          <w:sz w:val="32"/>
          <w:szCs w:val="32"/>
          <w:lang w:val="en-US" w:eastAsia="zh-CN" w:bidi="ar-SA"/>
        </w:rPr>
        <w:t>镇</w:t>
      </w:r>
      <w:r>
        <w:rPr>
          <w:rFonts w:hint="eastAsia" w:ascii="仿宋_GB2312" w:hAnsi="Calibri" w:eastAsia="仿宋_GB2312" w:cs="Times New Roman"/>
          <w:color w:val="auto"/>
          <w:kern w:val="2"/>
          <w:sz w:val="32"/>
          <w:szCs w:val="32"/>
          <w:lang w:val="en-US" w:eastAsia="zh-CN" w:bidi="ar-SA"/>
        </w:rPr>
        <w:t>兴华村砖厂以南</w:t>
      </w:r>
      <w:r>
        <w:rPr>
          <w:rFonts w:hint="eastAsia" w:hAnsi="Calibri" w:cs="Times New Roman"/>
          <w:color w:val="auto"/>
          <w:kern w:val="2"/>
          <w:sz w:val="32"/>
          <w:szCs w:val="32"/>
          <w:lang w:val="en-US" w:eastAsia="zh-CN" w:bidi="ar-SA"/>
        </w:rPr>
        <w:t>和</w:t>
      </w:r>
      <w:r>
        <w:rPr>
          <w:rFonts w:hint="eastAsia" w:ascii="仿宋_GB2312" w:hAnsi="Calibri" w:eastAsia="仿宋_GB2312" w:cs="Times New Roman"/>
          <w:color w:val="auto"/>
          <w:kern w:val="2"/>
          <w:sz w:val="32"/>
          <w:szCs w:val="32"/>
          <w:lang w:val="en-US" w:eastAsia="zh-CN" w:bidi="ar-SA"/>
        </w:rPr>
        <w:t>九座村一社。</w:t>
      </w:r>
      <w:r>
        <w:rPr>
          <w:rFonts w:hint="eastAsia" w:hAnsi="Calibri" w:cs="Times New Roman"/>
          <w:color w:val="auto"/>
          <w:kern w:val="2"/>
          <w:sz w:val="32"/>
          <w:szCs w:val="32"/>
          <w:lang w:val="en-US" w:eastAsia="zh-CN" w:bidi="ar-SA"/>
        </w:rPr>
        <w:t>本项目是在</w:t>
      </w:r>
      <w:r>
        <w:rPr>
          <w:rFonts w:hint="eastAsia" w:ascii="仿宋_GB2312" w:hAnsi="Calibri" w:eastAsia="仿宋_GB2312" w:cs="Times New Roman"/>
          <w:color w:val="auto"/>
          <w:kern w:val="2"/>
          <w:sz w:val="32"/>
          <w:szCs w:val="32"/>
          <w:lang w:val="en-US" w:eastAsia="zh-CN" w:bidi="ar-SA"/>
        </w:rPr>
        <w:t>吉林市龙潭区金珠乡兴华村砖厂以南</w:t>
      </w:r>
      <w:r>
        <w:rPr>
          <w:rFonts w:hint="eastAsia" w:hAnsi="Calibri" w:cs="Times New Roman"/>
          <w:color w:val="auto"/>
          <w:kern w:val="2"/>
          <w:sz w:val="32"/>
          <w:szCs w:val="32"/>
          <w:lang w:val="en-US" w:eastAsia="zh-CN" w:bidi="ar-SA"/>
        </w:rPr>
        <w:t>的现有厂区进行扩建。新建一条</w:t>
      </w:r>
      <w:r>
        <w:rPr>
          <w:rFonts w:hint="eastAsia" w:ascii="仿宋_GB2312" w:hAnsi="Calibri" w:eastAsia="仿宋_GB2312" w:cs="Times New Roman"/>
          <w:color w:val="auto"/>
          <w:kern w:val="2"/>
          <w:sz w:val="32"/>
          <w:szCs w:val="32"/>
          <w:lang w:val="en-US" w:eastAsia="zh-CN" w:bidi="ar-SA"/>
        </w:rPr>
        <w:t>年产50114件水泥制品</w:t>
      </w:r>
      <w:r>
        <w:rPr>
          <w:rFonts w:hint="eastAsia" w:hAnsi="Calibri" w:cs="Times New Roman"/>
          <w:color w:val="auto"/>
          <w:kern w:val="2"/>
          <w:sz w:val="32"/>
          <w:szCs w:val="32"/>
          <w:lang w:val="en-US" w:eastAsia="zh-CN" w:bidi="ar-SA"/>
        </w:rPr>
        <w:t>生产线，</w:t>
      </w:r>
      <w:r>
        <w:rPr>
          <w:rFonts w:hint="eastAsia" w:hAnsi="Calibri" w:cs="Times New Roman"/>
          <w:color w:val="auto"/>
          <w:kern w:val="2"/>
          <w:sz w:val="32"/>
          <w:szCs w:val="32"/>
          <w:highlight w:val="none"/>
          <w:lang w:val="en-US" w:eastAsia="zh-CN" w:bidi="ar-SA"/>
        </w:rPr>
        <w:t>主要产品为各种规格的</w:t>
      </w:r>
      <w:r>
        <w:rPr>
          <w:rFonts w:hint="eastAsia" w:cs="Times New Roman"/>
          <w:highlight w:val="none"/>
          <w:lang w:eastAsia="zh-CN"/>
        </w:rPr>
        <w:t>水泥管和</w:t>
      </w:r>
      <w:r>
        <w:rPr>
          <w:rFonts w:hint="eastAsia" w:cs="Times New Roman"/>
          <w:highlight w:val="none"/>
          <w:lang w:val="en-US" w:eastAsia="zh-CN"/>
        </w:rPr>
        <w:t>U型</w:t>
      </w:r>
      <w:r>
        <w:rPr>
          <w:rFonts w:hint="eastAsia" w:cs="Times New Roman"/>
          <w:highlight w:val="none"/>
          <w:lang w:eastAsia="zh-CN"/>
        </w:rPr>
        <w:t>水泥管。本项目建成后，全厂年产151000件水泥制品。</w:t>
      </w:r>
      <w:r>
        <w:rPr>
          <w:rFonts w:hint="default" w:ascii="仿宋_GB2312" w:hAnsi="Times New Roman" w:eastAsia="仿宋_GB2312" w:cs="Times New Roman"/>
          <w:sz w:val="32"/>
          <w:szCs w:val="32"/>
          <w:lang w:val="en-US" w:eastAsia="zh-CN"/>
        </w:rPr>
        <w:t>主要原料为水泥、</w:t>
      </w:r>
      <w:r>
        <w:rPr>
          <w:rFonts w:hint="eastAsia" w:hAnsi="Times New Roman" w:cs="Times New Roman"/>
          <w:sz w:val="32"/>
          <w:szCs w:val="32"/>
          <w:lang w:val="en-US" w:eastAsia="zh-CN"/>
        </w:rPr>
        <w:t>钢材、砂子、碎石和水</w:t>
      </w:r>
      <w:r>
        <w:rPr>
          <w:rFonts w:hint="default" w:ascii="仿宋_GB2312" w:hAnsi="Times New Roman" w:eastAsia="仿宋_GB2312" w:cs="Times New Roman"/>
          <w:sz w:val="32"/>
          <w:szCs w:val="32"/>
          <w:lang w:val="en-US" w:eastAsia="zh-CN"/>
        </w:rPr>
        <w:t>。</w:t>
      </w:r>
      <w:r>
        <w:rPr>
          <w:rFonts w:hint="eastAsia" w:ascii="仿宋_GB2312" w:hAnsi="Times New Roman" w:eastAsia="仿宋_GB2312" w:cs="Times New Roman"/>
          <w:sz w:val="32"/>
          <w:szCs w:val="32"/>
          <w:lang w:val="en-US" w:eastAsia="zh-CN"/>
        </w:rPr>
        <w:t>主体工程：生产</w:t>
      </w:r>
      <w:r>
        <w:rPr>
          <w:rFonts w:hint="eastAsia" w:hAnsi="Times New Roman" w:cs="Times New Roman"/>
          <w:sz w:val="32"/>
          <w:szCs w:val="32"/>
          <w:lang w:val="en-US" w:eastAsia="zh-CN"/>
        </w:rPr>
        <w:t>车间（生产区和养护区）</w:t>
      </w:r>
      <w:r>
        <w:rPr>
          <w:rFonts w:hint="eastAsia" w:ascii="仿宋_GB2312" w:hAnsi="Times New Roman" w:eastAsia="仿宋_GB2312" w:cs="Times New Roman"/>
          <w:sz w:val="32"/>
          <w:szCs w:val="32"/>
          <w:lang w:val="en-US" w:eastAsia="zh-CN"/>
        </w:rPr>
        <w:t>，占地面积为</w:t>
      </w:r>
      <w:r>
        <w:rPr>
          <w:rFonts w:hint="eastAsia" w:hAnsi="Times New Roman" w:cs="Times New Roman"/>
          <w:sz w:val="32"/>
          <w:szCs w:val="32"/>
          <w:lang w:val="en-US" w:eastAsia="zh-CN"/>
        </w:rPr>
        <w:t>756</w:t>
      </w:r>
      <w:r>
        <w:rPr>
          <w:rFonts w:hint="eastAsia" w:ascii="仿宋_GB2312" w:hAnsi="Times New Roman" w:eastAsia="仿宋_GB2312" w:cs="Times New Roman"/>
          <w:sz w:val="32"/>
          <w:szCs w:val="32"/>
          <w:lang w:val="en-US" w:eastAsia="zh-CN"/>
        </w:rPr>
        <w:t>m</w:t>
      </w:r>
      <w:r>
        <w:rPr>
          <w:rFonts w:hint="eastAsia" w:ascii="仿宋_GB2312" w:hAnsi="Times New Roman" w:eastAsia="仿宋_GB2312" w:cs="Times New Roman"/>
          <w:sz w:val="32"/>
          <w:szCs w:val="32"/>
          <w:vertAlign w:val="superscript"/>
          <w:lang w:val="en-US" w:eastAsia="zh-CN"/>
        </w:rPr>
        <w:t>2</w:t>
      </w:r>
      <w:r>
        <w:rPr>
          <w:rFonts w:hint="eastAsia" w:ascii="仿宋_GB2312" w:hAnsi="Times New Roman" w:eastAsia="仿宋_GB2312" w:cs="Times New Roman"/>
          <w:sz w:val="32"/>
          <w:szCs w:val="32"/>
          <w:lang w:val="en-US" w:eastAsia="zh-CN"/>
        </w:rPr>
        <w:t>，场地设置</w:t>
      </w:r>
      <w:r>
        <w:rPr>
          <w:rFonts w:hint="eastAsia" w:hAnsi="Times New Roman" w:cs="Times New Roman"/>
          <w:sz w:val="32"/>
          <w:szCs w:val="32"/>
          <w:lang w:val="en-US" w:eastAsia="zh-CN"/>
        </w:rPr>
        <w:t>立式</w:t>
      </w:r>
      <w:r>
        <w:rPr>
          <w:rFonts w:hint="eastAsia" w:ascii="仿宋_GB2312" w:hAnsi="Times New Roman" w:eastAsia="仿宋_GB2312" w:cs="Times New Roman"/>
          <w:sz w:val="32"/>
          <w:szCs w:val="32"/>
          <w:lang w:val="en-US" w:eastAsia="zh-CN"/>
        </w:rPr>
        <w:t>水泥储罐</w:t>
      </w:r>
      <w:r>
        <w:rPr>
          <w:rFonts w:hint="eastAsia" w:hAnsi="Times New Roman" w:cs="Times New Roman"/>
          <w:sz w:val="32"/>
          <w:szCs w:val="32"/>
          <w:lang w:val="en-US" w:eastAsia="zh-CN"/>
        </w:rPr>
        <w:t>1个(容积为100m</w:t>
      </w:r>
      <w:r>
        <w:rPr>
          <w:rFonts w:hint="eastAsia" w:hAnsi="Times New Roman" w:cs="Times New Roman"/>
          <w:sz w:val="32"/>
          <w:szCs w:val="32"/>
          <w:vertAlign w:val="superscript"/>
          <w:lang w:val="en-US" w:eastAsia="zh-CN"/>
        </w:rPr>
        <w:t>3</w:t>
      </w:r>
      <w:r>
        <w:rPr>
          <w:rFonts w:hint="eastAsia" w:hAnsi="Times New Roman" w:cs="Times New Roman"/>
          <w:sz w:val="32"/>
          <w:szCs w:val="32"/>
          <w:vertAlign w:val="baseline"/>
          <w:lang w:val="en-US" w:eastAsia="zh-CN"/>
        </w:rPr>
        <w:t>)、</w:t>
      </w:r>
      <w:r>
        <w:rPr>
          <w:rFonts w:hint="eastAsia" w:hAnsi="Times New Roman" w:cs="Times New Roman"/>
          <w:sz w:val="32"/>
          <w:szCs w:val="32"/>
          <w:highlight w:val="none"/>
          <w:lang w:val="en-US" w:eastAsia="zh-CN"/>
        </w:rPr>
        <w:t>混凝土搅拌站（密闭）及喂料机</w:t>
      </w:r>
      <w:r>
        <w:rPr>
          <w:rFonts w:hint="eastAsia" w:ascii="仿宋_GB2312" w:hAnsi="Times New Roman" w:eastAsia="仿宋_GB2312" w:cs="Times New Roman"/>
          <w:sz w:val="32"/>
          <w:szCs w:val="32"/>
          <w:highlight w:val="none"/>
          <w:lang w:val="en-US" w:eastAsia="zh-CN"/>
        </w:rPr>
        <w:t>等</w:t>
      </w:r>
      <w:r>
        <w:rPr>
          <w:rFonts w:hint="eastAsia" w:hAnsi="Times New Roman" w:cs="Times New Roman"/>
          <w:sz w:val="32"/>
          <w:szCs w:val="32"/>
          <w:highlight w:val="none"/>
          <w:lang w:val="en-US" w:eastAsia="zh-CN"/>
        </w:rPr>
        <w:t>设备</w:t>
      </w:r>
      <w:r>
        <w:rPr>
          <w:rFonts w:hint="eastAsia" w:ascii="仿宋_GB2312" w:hAnsi="Times New Roman" w:eastAsia="仿宋_GB2312" w:cs="Times New Roman"/>
          <w:sz w:val="32"/>
          <w:szCs w:val="32"/>
          <w:lang w:val="en-US" w:eastAsia="zh-CN"/>
        </w:rPr>
        <w:t>；</w:t>
      </w:r>
      <w:r>
        <w:rPr>
          <w:rFonts w:hint="eastAsia"/>
          <w:color w:val="auto"/>
          <w:lang w:val="en-US" w:eastAsia="zh-CN"/>
        </w:rPr>
        <w:t>54</w:t>
      </w:r>
      <w:r>
        <w:rPr>
          <w:rFonts w:hint="eastAsia" w:hAnsi="Times New Roman" w:cs="Times New Roman"/>
          <w:sz w:val="32"/>
          <w:szCs w:val="32"/>
          <w:lang w:val="en-US" w:eastAsia="zh-CN"/>
        </w:rPr>
        <w:t>m</w:t>
      </w:r>
      <w:r>
        <w:rPr>
          <w:rFonts w:hint="eastAsia" w:hAnsi="Times New Roman" w:cs="Times New Roman"/>
          <w:sz w:val="32"/>
          <w:szCs w:val="32"/>
          <w:vertAlign w:val="superscript"/>
          <w:lang w:val="en-US" w:eastAsia="zh-CN"/>
        </w:rPr>
        <w:t>2</w:t>
      </w:r>
      <w:r>
        <w:rPr>
          <w:rFonts w:hint="default"/>
          <w:color w:val="auto"/>
          <w:lang w:val="en-US" w:eastAsia="zh-CN"/>
        </w:rPr>
        <w:t>锅炉房</w:t>
      </w:r>
      <w:r>
        <w:rPr>
          <w:rFonts w:hint="eastAsia" w:hAnsi="Times New Roman" w:cs="Times New Roman"/>
          <w:sz w:val="32"/>
          <w:szCs w:val="32"/>
          <w:lang w:val="en-US" w:eastAsia="zh-CN"/>
        </w:rPr>
        <w:t>，设置1台0.5t/h的燃生物质蒸汽发生器用于产品养护；在厂区入口处设置3m</w:t>
      </w:r>
      <w:r>
        <w:rPr>
          <w:rFonts w:hint="eastAsia" w:hAnsi="Times New Roman" w:cs="Times New Roman"/>
          <w:sz w:val="32"/>
          <w:szCs w:val="32"/>
          <w:vertAlign w:val="superscript"/>
          <w:lang w:val="en-US" w:eastAsia="zh-CN"/>
        </w:rPr>
        <w:t>3</w:t>
      </w:r>
      <w:r>
        <w:rPr>
          <w:rFonts w:hint="eastAsia" w:hAnsi="Times New Roman" w:cs="Times New Roman"/>
          <w:sz w:val="32"/>
          <w:szCs w:val="32"/>
          <w:lang w:val="en-US" w:eastAsia="zh-CN"/>
        </w:rPr>
        <w:t>清洗凹槽，用于出厂车辆冲洗。</w:t>
      </w:r>
      <w:r>
        <w:rPr>
          <w:rFonts w:hint="eastAsia" w:ascii="仿宋_GB2312" w:hAnsi="Times New Roman" w:eastAsia="仿宋_GB2312" w:cs="Times New Roman"/>
          <w:sz w:val="32"/>
          <w:szCs w:val="32"/>
          <w:lang w:val="en-US" w:eastAsia="zh-CN"/>
        </w:rPr>
        <w:t>储运工程：468m</w:t>
      </w:r>
      <w:r>
        <w:rPr>
          <w:rFonts w:hint="eastAsia" w:ascii="仿宋_GB2312" w:hAnsi="Times New Roman" w:eastAsia="仿宋_GB2312" w:cs="Times New Roman"/>
          <w:sz w:val="32"/>
          <w:szCs w:val="32"/>
          <w:vertAlign w:val="superscript"/>
          <w:lang w:val="en-US" w:eastAsia="zh-CN"/>
        </w:rPr>
        <w:t>2</w:t>
      </w:r>
      <w:r>
        <w:rPr>
          <w:rFonts w:hint="eastAsia" w:ascii="仿宋_GB2312" w:hAnsi="Times New Roman" w:eastAsia="仿宋_GB2312" w:cs="Times New Roman"/>
          <w:sz w:val="32"/>
          <w:szCs w:val="32"/>
          <w:lang w:val="en-US" w:eastAsia="zh-CN"/>
        </w:rPr>
        <w:t>原料堆放区，用于堆放生产用砂子和石子，新建半封闭罩棚，定期洒水降尘；</w:t>
      </w:r>
      <w:r>
        <w:rPr>
          <w:rFonts w:hint="eastAsia" w:hAnsi="Times New Roman" w:cs="Times New Roman"/>
          <w:sz w:val="32"/>
          <w:szCs w:val="32"/>
          <w:lang w:val="en-US" w:eastAsia="zh-CN"/>
        </w:rPr>
        <w:t>2</w:t>
      </w:r>
      <w:r>
        <w:rPr>
          <w:rFonts w:hint="eastAsia" w:ascii="仿宋_GB2312" w:hAnsi="Times New Roman" w:eastAsia="仿宋_GB2312" w:cs="Times New Roman"/>
          <w:sz w:val="32"/>
          <w:szCs w:val="32"/>
          <w:lang w:val="en-US" w:eastAsia="zh-CN"/>
        </w:rPr>
        <w:t>000m</w:t>
      </w:r>
      <w:r>
        <w:rPr>
          <w:rFonts w:hint="eastAsia" w:ascii="仿宋_GB2312" w:hAnsi="Times New Roman" w:eastAsia="仿宋_GB2312" w:cs="Times New Roman"/>
          <w:sz w:val="32"/>
          <w:szCs w:val="32"/>
          <w:vertAlign w:val="superscript"/>
          <w:lang w:val="en-US" w:eastAsia="zh-CN"/>
        </w:rPr>
        <w:t>2</w:t>
      </w:r>
      <w:r>
        <w:rPr>
          <w:rFonts w:hint="eastAsia" w:ascii="仿宋_GB2312" w:hAnsi="Times New Roman" w:eastAsia="仿宋_GB2312" w:cs="Times New Roman"/>
          <w:sz w:val="32"/>
          <w:szCs w:val="32"/>
          <w:lang w:val="en-US" w:eastAsia="zh-CN"/>
        </w:rPr>
        <w:t>成品堆放区</w:t>
      </w:r>
      <w:r>
        <w:rPr>
          <w:rFonts w:hint="eastAsia" w:hAnsi="Times New Roman" w:cs="Times New Roman"/>
          <w:sz w:val="32"/>
          <w:szCs w:val="32"/>
          <w:lang w:val="en-US" w:eastAsia="zh-CN"/>
        </w:rPr>
        <w:t>（利旧）</w:t>
      </w:r>
      <w:r>
        <w:rPr>
          <w:rFonts w:hint="eastAsia" w:ascii="仿宋_GB2312" w:hAnsi="Times New Roman" w:eastAsia="仿宋_GB2312" w:cs="Times New Roman"/>
          <w:sz w:val="32"/>
          <w:szCs w:val="32"/>
          <w:lang w:val="en-US" w:eastAsia="zh-CN"/>
        </w:rPr>
        <w:t>，用于堆放成品水泥制品；</w:t>
      </w:r>
      <w:r>
        <w:rPr>
          <w:rFonts w:hint="default"/>
          <w:color w:val="auto"/>
          <w:lang w:val="en-US" w:eastAsia="zh-CN"/>
        </w:rPr>
        <w:t>97.86</w:t>
      </w:r>
      <w:r>
        <w:rPr>
          <w:rFonts w:hint="eastAsia" w:hAnsi="Times New Roman" w:cs="Times New Roman"/>
          <w:sz w:val="32"/>
          <w:szCs w:val="32"/>
          <w:lang w:val="en-US" w:eastAsia="zh-CN"/>
        </w:rPr>
        <w:t>m</w:t>
      </w:r>
      <w:r>
        <w:rPr>
          <w:rFonts w:hint="eastAsia" w:hAnsi="Times New Roman" w:cs="Times New Roman"/>
          <w:sz w:val="32"/>
          <w:szCs w:val="32"/>
          <w:vertAlign w:val="superscript"/>
          <w:lang w:val="en-US" w:eastAsia="zh-CN"/>
        </w:rPr>
        <w:t>2</w:t>
      </w:r>
      <w:r>
        <w:rPr>
          <w:rFonts w:hint="eastAsia" w:hAnsi="Times New Roman" w:cs="Times New Roman"/>
          <w:sz w:val="32"/>
          <w:szCs w:val="32"/>
          <w:lang w:val="en-US" w:eastAsia="zh-CN"/>
        </w:rPr>
        <w:t>焊接</w:t>
      </w:r>
      <w:r>
        <w:rPr>
          <w:rFonts w:hint="eastAsia" w:ascii="仿宋_GB2312" w:hAnsi="Times New Roman" w:eastAsia="仿宋_GB2312" w:cs="Times New Roman"/>
          <w:sz w:val="32"/>
          <w:szCs w:val="32"/>
          <w:lang w:val="en-US" w:eastAsia="zh-CN"/>
        </w:rPr>
        <w:t>车间</w:t>
      </w:r>
      <w:r>
        <w:rPr>
          <w:rFonts w:hint="eastAsia" w:hAnsi="Times New Roman" w:cs="Times New Roman"/>
          <w:sz w:val="32"/>
          <w:szCs w:val="32"/>
          <w:vertAlign w:val="baseline"/>
          <w:lang w:val="en-US" w:eastAsia="zh-CN"/>
        </w:rPr>
        <w:t>（厂房及设备利旧），钢筋自动滚焊机1台，</w:t>
      </w:r>
      <w:r>
        <w:rPr>
          <w:rFonts w:hint="default"/>
          <w:color w:val="auto"/>
          <w:lang w:val="en-US" w:eastAsia="zh-CN"/>
        </w:rPr>
        <w:t>用于钢筋焊接</w:t>
      </w:r>
      <w:r>
        <w:rPr>
          <w:rFonts w:hint="eastAsia" w:hAnsi="Times New Roman" w:cs="Times New Roman"/>
          <w:sz w:val="32"/>
          <w:szCs w:val="32"/>
          <w:vertAlign w:val="baseline"/>
          <w:lang w:val="en-US" w:eastAsia="zh-CN"/>
        </w:rPr>
        <w:t>;</w:t>
      </w:r>
      <w:r>
        <w:rPr>
          <w:rFonts w:hint="eastAsia" w:hAnsi="Times New Roman" w:cs="Times New Roman"/>
          <w:sz w:val="32"/>
          <w:szCs w:val="32"/>
          <w:lang w:val="en-US" w:eastAsia="zh-CN"/>
        </w:rPr>
        <w:t>厂区地面硬化。</w:t>
      </w:r>
      <w:r>
        <w:rPr>
          <w:rFonts w:hint="eastAsia" w:hAnsi="Calibri" w:cs="Times New Roman"/>
          <w:color w:val="auto"/>
          <w:kern w:val="2"/>
          <w:sz w:val="32"/>
          <w:szCs w:val="32"/>
          <w:highlight w:val="none"/>
          <w:lang w:val="en-US" w:eastAsia="zh-CN" w:bidi="ar-SA"/>
        </w:rPr>
        <w:t>该公司总占地面积9149m</w:t>
      </w:r>
      <w:r>
        <w:rPr>
          <w:rFonts w:hint="eastAsia" w:hAnsi="Calibri" w:cs="Times New Roman"/>
          <w:color w:val="auto"/>
          <w:kern w:val="2"/>
          <w:sz w:val="32"/>
          <w:szCs w:val="32"/>
          <w:highlight w:val="none"/>
          <w:vertAlign w:val="superscript"/>
          <w:lang w:val="en-US" w:eastAsia="zh-CN" w:bidi="ar-SA"/>
        </w:rPr>
        <w:t>2</w:t>
      </w:r>
      <w:r>
        <w:rPr>
          <w:rFonts w:hint="eastAsia" w:hAnsi="Calibri" w:cs="Times New Roman"/>
          <w:color w:val="auto"/>
          <w:kern w:val="2"/>
          <w:sz w:val="32"/>
          <w:szCs w:val="32"/>
          <w:highlight w:val="none"/>
          <w:lang w:val="en-US" w:eastAsia="zh-CN" w:bidi="ar-SA"/>
        </w:rPr>
        <w:t>。</w:t>
      </w:r>
      <w:r>
        <w:rPr>
          <w:rFonts w:hint="eastAsia"/>
          <w:lang w:eastAsia="zh-CN"/>
        </w:rPr>
        <w:t>不设置</w:t>
      </w:r>
      <w:r>
        <w:rPr>
          <w:rFonts w:hint="eastAsia" w:cs="Times New Roman"/>
          <w:lang w:eastAsia="zh-CN"/>
        </w:rPr>
        <w:t>食堂和</w:t>
      </w:r>
      <w:r>
        <w:rPr>
          <w:rFonts w:hint="eastAsia"/>
          <w:lang w:eastAsia="zh-CN"/>
        </w:rPr>
        <w:t>员工宿舍。</w:t>
      </w:r>
      <w:r>
        <w:rPr>
          <w:rFonts w:hint="eastAsia" w:cs="Times New Roman"/>
          <w:lang w:eastAsia="zh-CN"/>
        </w:rPr>
        <w:t>冬季不生产，冬季采用电采暖。新增</w:t>
      </w:r>
      <w:r>
        <w:rPr>
          <w:rFonts w:hint="eastAsia" w:hAnsi="Calibri" w:cs="Times New Roman"/>
          <w:color w:val="auto"/>
          <w:kern w:val="2"/>
          <w:sz w:val="32"/>
          <w:szCs w:val="32"/>
          <w:highlight w:val="none"/>
          <w:lang w:val="en-US" w:eastAsia="zh-CN" w:bidi="ar-SA"/>
        </w:rPr>
        <w:t>劳动定员10人，年生产240天，每天工作12小时。本项目总投资150万元，环保投资17万元。</w:t>
      </w:r>
      <w:r>
        <w:rPr>
          <w:rFonts w:hint="eastAsia" w:ascii="仿宋_GB2312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根</w:t>
      </w:r>
      <w:r>
        <w:rPr>
          <w:rFonts w:hint="eastAsia" w:ascii="仿宋_GB2312" w:eastAsia="仿宋_GB2312"/>
          <w:color w:val="auto"/>
          <w:sz w:val="32"/>
          <w:szCs w:val="32"/>
          <w:highlight w:val="none"/>
        </w:rPr>
        <w:t>据</w:t>
      </w:r>
      <w:r>
        <w:rPr>
          <w:rFonts w:hint="eastAsia" w:ascii="仿宋_GB2312" w:eastAsia="仿宋_GB2312"/>
          <w:color w:val="auto"/>
          <w:sz w:val="32"/>
          <w:szCs w:val="32"/>
        </w:rPr>
        <w:t>环境影响报告表评价结论和</w:t>
      </w:r>
      <w:r>
        <w:rPr>
          <w:rFonts w:hint="eastAsia" w:ascii="仿宋_GB2312" w:eastAsia="仿宋_GB2312"/>
          <w:color w:val="auto"/>
          <w:sz w:val="32"/>
          <w:szCs w:val="32"/>
          <w:lang w:eastAsia="zh-CN"/>
        </w:rPr>
        <w:t>技术评估</w:t>
      </w:r>
      <w:r>
        <w:rPr>
          <w:rFonts w:hint="eastAsia" w:ascii="仿宋_GB2312" w:eastAsia="仿宋_GB2312"/>
          <w:color w:val="auto"/>
          <w:sz w:val="32"/>
          <w:szCs w:val="32"/>
        </w:rPr>
        <w:t>意见，严格落实环境影响报告表提出的各项环境保护和环境风险防控措施。我局原则同意建设单位按照环评报告及下述要求进行项目建设。该项目环境影响报告表（报批版）可以作为环保设计及其建成后环境管理依据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hint="eastAsia"/>
          <w:color w:val="auto"/>
          <w:sz w:val="32"/>
          <w:szCs w:val="32"/>
          <w:lang w:val="en-US" w:eastAsia="zh-CN"/>
        </w:rPr>
      </w:pPr>
      <w:r>
        <w:rPr>
          <w:rFonts w:hint="eastAsia"/>
          <w:color w:val="auto"/>
          <w:sz w:val="32"/>
          <w:szCs w:val="32"/>
          <w:lang w:val="en-US" w:eastAsia="zh-CN"/>
        </w:rPr>
        <w:t>二、项目建设应重点做好以下工作：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hint="eastAsia"/>
          <w:color w:val="auto"/>
          <w:sz w:val="32"/>
          <w:szCs w:val="32"/>
          <w:lang w:val="en-US" w:eastAsia="zh-CN"/>
        </w:rPr>
      </w:pPr>
      <w:r>
        <w:rPr>
          <w:rFonts w:hint="eastAsia"/>
          <w:color w:val="auto"/>
          <w:sz w:val="32"/>
          <w:szCs w:val="32"/>
          <w:lang w:val="en-US" w:eastAsia="zh-CN"/>
        </w:rPr>
        <w:t>1、加强建设期环境管理。施工现场设材料仓库，砂石料、水泥堆放于库房内。对堆存的砂粉等建筑材料采取遮盖措施，地面定期洒水降尘。生活污水排入</w:t>
      </w:r>
      <w:r>
        <w:rPr>
          <w:rFonts w:hint="eastAsia" w:cs="Times New Roman"/>
          <w:color w:val="auto"/>
          <w:sz w:val="32"/>
          <w:szCs w:val="32"/>
          <w:lang w:val="en-US" w:eastAsia="zh-CN"/>
        </w:rPr>
        <w:t>防渗旱厕，定期清掏外运做农肥；施工废水经沉淀后回用，不外排。</w:t>
      </w:r>
      <w:r>
        <w:rPr>
          <w:rFonts w:hint="eastAsia"/>
          <w:color w:val="auto"/>
          <w:sz w:val="32"/>
          <w:szCs w:val="32"/>
          <w:lang w:val="en-US" w:eastAsia="zh-CN"/>
        </w:rPr>
        <w:t>施工期产生少量生活垃圾、废包装物及建筑垃圾，建筑垃圾清运至指定填埋场填埋；废包装物能回收利用的材料售给再生资源回收部门，其余定点收集，由环卫部门处置;生活垃圾集中收集后由环卫部门负责处理。运输车辆严禁超载并采取密闭或覆盖措施，及时清扫散落泥土和建筑材料，冲洗轮胎，定时洒水抑尘。施工现场边界建设围挡及临时设备房，使用低噪声施工机械，禁止夜间施工，控制施工期噪声符合《建筑施工场界环境噪声排放标准》（GB12523-2011）要求，将项目建设对外界环境影响降至最低。落实施工期的各项污染防治措施，防止发生环境污染和扰民事件。</w:t>
      </w:r>
    </w:p>
    <w:p>
      <w:pPr>
        <w:pStyle w:val="22"/>
        <w:keepNext w:val="0"/>
        <w:keepLines w:val="0"/>
        <w:pageBreakBefore w:val="0"/>
        <w:tabs>
          <w:tab w:val="left" w:pos="1260"/>
        </w:tabs>
        <w:kinsoku/>
        <w:wordWrap/>
        <w:overflowPunct/>
        <w:topLinePunct w:val="0"/>
        <w:bidi w:val="0"/>
        <w:snapToGrid/>
        <w:spacing w:line="560" w:lineRule="exact"/>
        <w:ind w:firstLine="640" w:firstLineChars="200"/>
        <w:textAlignment w:val="auto"/>
        <w:rPr>
          <w:rFonts w:hint="eastAsia"/>
          <w:color w:val="auto"/>
          <w:sz w:val="32"/>
          <w:szCs w:val="32"/>
          <w:lang w:val="en-US" w:eastAsia="zh-CN"/>
        </w:rPr>
      </w:pPr>
      <w:r>
        <w:rPr>
          <w:rFonts w:hint="eastAsia"/>
          <w:color w:val="auto"/>
          <w:sz w:val="32"/>
          <w:szCs w:val="32"/>
          <w:lang w:val="en-US" w:eastAsia="zh-CN"/>
        </w:rPr>
        <w:t>2、本项目搅拌工序用水全部进入产品不外排，蒸汽发生器产生冷凝水一部分进入水泥制品养护工序，养护池内设有冷凝液收集槽，冷凝水流入收集池内回用于搅拌工序，另一部分蒸汽逸散；</w:t>
      </w:r>
      <w:r>
        <w:rPr>
          <w:rFonts w:hint="eastAsia" w:hAnsi="Calibri" w:cs="Times New Roman"/>
          <w:color w:val="auto"/>
          <w:kern w:val="2"/>
          <w:sz w:val="32"/>
          <w:szCs w:val="32"/>
          <w:highlight w:val="none"/>
          <w:vertAlign w:val="baseline"/>
          <w:lang w:val="en-US" w:eastAsia="zh-CN" w:bidi="ar-SA"/>
        </w:rPr>
        <w:t>车轮冲洗水循环使用，不外排</w:t>
      </w:r>
      <w:r>
        <w:rPr>
          <w:rFonts w:hint="eastAsia" w:ascii="宋体" w:hAnsi="Calibri" w:cs="Times New Roman"/>
          <w:color w:val="auto"/>
          <w:kern w:val="2"/>
          <w:sz w:val="32"/>
          <w:szCs w:val="32"/>
          <w:highlight w:val="none"/>
          <w:vertAlign w:val="baseline"/>
          <w:lang w:val="en-US" w:eastAsia="zh-CN" w:bidi="ar-SA"/>
        </w:rPr>
        <w:t>；</w:t>
      </w:r>
      <w:r>
        <w:rPr>
          <w:rFonts w:hint="eastAsia"/>
          <w:color w:val="auto"/>
          <w:sz w:val="32"/>
          <w:szCs w:val="32"/>
          <w:lang w:val="en-US" w:eastAsia="zh-CN"/>
        </w:rPr>
        <w:t>生活污水排入</w:t>
      </w:r>
      <w:r>
        <w:rPr>
          <w:rFonts w:hint="eastAsia" w:hAnsi="Calibri" w:cs="Times New Roman"/>
          <w:color w:val="auto"/>
          <w:kern w:val="2"/>
          <w:sz w:val="32"/>
          <w:szCs w:val="32"/>
          <w:highlight w:val="none"/>
          <w:vertAlign w:val="baseline"/>
          <w:lang w:val="en-US" w:eastAsia="zh-CN" w:bidi="ar-SA"/>
        </w:rPr>
        <w:t>防渗</w:t>
      </w:r>
      <w:r>
        <w:rPr>
          <w:rFonts w:hint="eastAsia" w:cs="Times New Roman"/>
          <w:color w:val="auto"/>
          <w:sz w:val="32"/>
          <w:szCs w:val="32"/>
          <w:lang w:val="en-US" w:eastAsia="zh-CN"/>
        </w:rPr>
        <w:t>旱厕</w:t>
      </w:r>
      <w:r>
        <w:rPr>
          <w:rFonts w:hint="eastAsia"/>
          <w:color w:val="auto"/>
          <w:sz w:val="32"/>
          <w:szCs w:val="32"/>
          <w:lang w:val="en-US" w:eastAsia="zh-CN"/>
        </w:rPr>
        <w:t>，定期清掏</w:t>
      </w:r>
      <w:r>
        <w:rPr>
          <w:rFonts w:hint="eastAsia" w:ascii="仿宋_GB2312" w:hAnsi="Calibri" w:cs="Times New Roman"/>
          <w:color w:val="auto"/>
          <w:kern w:val="2"/>
          <w:sz w:val="32"/>
          <w:szCs w:val="32"/>
          <w:lang w:val="en-US" w:eastAsia="zh-CN" w:bidi="ar-SA"/>
        </w:rPr>
        <w:t>做农肥</w:t>
      </w:r>
      <w:r>
        <w:rPr>
          <w:rFonts w:hint="eastAsia"/>
          <w:color w:val="auto"/>
          <w:sz w:val="32"/>
          <w:szCs w:val="32"/>
          <w:lang w:val="en-US" w:eastAsia="zh-CN"/>
        </w:rPr>
        <w:t>。</w:t>
      </w:r>
    </w:p>
    <w:p>
      <w:pPr>
        <w:pStyle w:val="6"/>
        <w:rPr>
          <w:rFonts w:hint="eastAsia" w:eastAsia="仿宋_GB2312"/>
          <w:color w:val="auto"/>
          <w:sz w:val="32"/>
          <w:szCs w:val="32"/>
          <w:lang w:val="en-US" w:eastAsia="zh-CN"/>
        </w:rPr>
      </w:pPr>
      <w:r>
        <w:rPr>
          <w:rFonts w:hint="eastAsia" w:cs="Times New Roman"/>
          <w:color w:val="auto"/>
          <w:sz w:val="32"/>
          <w:szCs w:val="32"/>
          <w:lang w:val="en-US" w:eastAsia="zh-CN"/>
        </w:rPr>
        <w:t>3、</w:t>
      </w:r>
      <w:r>
        <w:rPr>
          <w:rFonts w:hint="eastAsia" w:cs="Times New Roman"/>
          <w:color w:val="auto"/>
          <w:sz w:val="32"/>
          <w:szCs w:val="32"/>
          <w:highlight w:val="none"/>
          <w:lang w:val="en-US" w:eastAsia="zh-CN"/>
        </w:rPr>
        <w:t>本项目运营期产生的废气主要为蒸汽发生器烟气、投料与搅拌工序产生的粉尘、水泥罐顶部呼吸孔粉尘、砂石卸料粉尘、原料堆存粉尘、焊接烟尘、运输扬尘以及残次品破碎粉尘。蒸汽发生器采取低氮燃烧方式，烟气经旋风+布袋除尘器处理后经20m高排气筒排放；水泥罐至搅拌机的输送采用螺旋输送机密闭输送；砂石采用密闭的皮带输送；投料与搅拌工序产生的粉尘经集气罩收集，袋式除尘器处理后，由15m高排气筒排放；水泥罐顶部呼吸孔粉尘由仓顶除尘器处理后，经震动清理落入料仓；</w:t>
      </w:r>
      <w:r>
        <w:rPr>
          <w:rFonts w:hint="eastAsia" w:cs="Times New Roman"/>
          <w:color w:val="auto"/>
          <w:sz w:val="32"/>
          <w:szCs w:val="32"/>
          <w:lang w:val="en-US" w:eastAsia="zh-CN"/>
        </w:rPr>
        <w:t>焊接烟尘经焊接烟尘净化器处理后排放；残次品破碎过程采用洒水降尘措施；原料堆场建设半封闭罩棚，定期洒水降尘；卸料过程采用洒水抑尘；进出厂道路硬化，及时维护路面、清扫路面泥沙，洒水降尘，控制车辆速度，运输车厢进行遮蔽处理，车辆出厂冲洗。</w:t>
      </w:r>
      <w:r>
        <w:rPr>
          <w:rFonts w:hint="eastAsia"/>
          <w:color w:val="auto"/>
          <w:sz w:val="32"/>
          <w:szCs w:val="32"/>
          <w:lang w:val="en-US" w:eastAsia="zh-CN"/>
        </w:rPr>
        <w:t>加强管理，确保锅炉烟气排放满足《锅炉大气污染物排放标准》（GB13271-2014）中表3大气污染物特别排放限值要求；</w:t>
      </w:r>
      <w:r>
        <w:rPr>
          <w:rFonts w:hint="eastAsia" w:ascii="仿宋" w:hAnsi="仿宋" w:eastAsia="仿宋" w:cs="Times New Roman"/>
          <w:sz w:val="32"/>
          <w:szCs w:val="32"/>
          <w:lang w:val="en-US" w:eastAsia="zh-CN"/>
        </w:rPr>
        <w:t>颗粒物的排放符合</w:t>
      </w:r>
      <w:r>
        <w:rPr>
          <w:rFonts w:hint="eastAsia"/>
          <w:color w:val="auto"/>
          <w:sz w:val="32"/>
          <w:szCs w:val="32"/>
          <w:lang w:val="en-US" w:eastAsia="zh-CN"/>
        </w:rPr>
        <w:t>《水泥工业大气污染物排放标准》（GB4915-2013）中表2大气污染物特别排放限值及表3大气污染物无组织排放限值</w:t>
      </w:r>
      <w:r>
        <w:rPr>
          <w:rFonts w:hint="eastAsia"/>
          <w:b w:val="0"/>
          <w:spacing w:val="-1"/>
          <w:szCs w:val="24"/>
          <w:u w:val="none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hint="eastAsia"/>
          <w:color w:val="auto"/>
          <w:sz w:val="32"/>
          <w:szCs w:val="32"/>
          <w:lang w:val="en-US" w:eastAsia="zh-CN"/>
        </w:rPr>
      </w:pPr>
      <w:r>
        <w:rPr>
          <w:rFonts w:hint="eastAsia"/>
          <w:color w:val="auto"/>
          <w:sz w:val="32"/>
          <w:szCs w:val="32"/>
          <w:lang w:val="en-US" w:eastAsia="zh-CN"/>
        </w:rPr>
        <w:t>4、优先选用低噪音设备，采取有效的隔声减振措施，夜间禁止生产，确保厂界噪声符合《工业企业厂界环境噪声排放标准》（GB12348-2008）中2类、4类（西侧）声环境功能区限值。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bidi w:val="0"/>
        <w:snapToGrid/>
        <w:spacing w:line="560" w:lineRule="exact"/>
        <w:jc w:val="left"/>
        <w:textAlignment w:val="auto"/>
        <w:rPr>
          <w:rFonts w:hint="eastAsia" w:cs="Times New Roman"/>
          <w:highlight w:val="none"/>
          <w:lang w:val="en-US" w:eastAsia="zh-CN"/>
        </w:rPr>
      </w:pPr>
      <w:r>
        <w:rPr>
          <w:rFonts w:hint="eastAsia"/>
          <w:color w:val="auto"/>
          <w:sz w:val="32"/>
          <w:szCs w:val="32"/>
          <w:lang w:val="en-US" w:eastAsia="zh-CN"/>
        </w:rPr>
        <w:t>5、</w:t>
      </w: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严格按照有关规定，对固体废物实施分类处理、处置，做到“资源化、减量化、无害化”，防止产生二次污染。</w:t>
      </w:r>
      <w:r>
        <w:rPr>
          <w:rFonts w:hint="eastAsia"/>
          <w:color w:val="auto"/>
          <w:sz w:val="32"/>
          <w:szCs w:val="32"/>
          <w:lang w:val="en-US" w:eastAsia="zh-CN"/>
        </w:rPr>
        <w:t>本项目生物质炉灰及除尘灰外卖综合利用；</w:t>
      </w:r>
      <w:r>
        <w:rPr>
          <w:rFonts w:hint="eastAsia" w:cs="Times New Roman"/>
          <w:highlight w:val="none"/>
          <w:lang w:val="en-US" w:eastAsia="zh-CN"/>
        </w:rPr>
        <w:t>搅拌机清理物料收集后回用于生产；收集粉尘回用于生产；</w:t>
      </w:r>
      <w:r>
        <w:rPr>
          <w:rFonts w:hint="eastAsia" w:cs="Times New Roman"/>
          <w:highlight w:val="none"/>
        </w:rPr>
        <w:t>残次品</w:t>
      </w:r>
      <w:r>
        <w:rPr>
          <w:rFonts w:hint="eastAsia" w:cs="Times New Roman"/>
          <w:highlight w:val="none"/>
          <w:lang w:eastAsia="zh-CN"/>
        </w:rPr>
        <w:t>销毁后送至建筑垃圾填埋场处理；</w:t>
      </w:r>
      <w:r>
        <w:rPr>
          <w:rFonts w:hint="eastAsia" w:cs="Times New Roman"/>
          <w:highlight w:val="none"/>
          <w:lang w:val="en-US" w:eastAsia="zh-CN"/>
        </w:rPr>
        <w:t>废环保隔离剂桶由厂家回收处理；</w:t>
      </w:r>
      <w:r>
        <w:rPr>
          <w:rFonts w:hint="eastAsia"/>
          <w:highlight w:val="none"/>
        </w:rPr>
        <w:t>钢筋废料</w:t>
      </w:r>
      <w:r>
        <w:rPr>
          <w:rFonts w:hint="eastAsia"/>
          <w:highlight w:val="none"/>
          <w:lang w:eastAsia="zh-CN"/>
        </w:rPr>
        <w:t>装袋后</w:t>
      </w:r>
      <w:r>
        <w:rPr>
          <w:rFonts w:hint="eastAsia"/>
          <w:highlight w:val="none"/>
        </w:rPr>
        <w:t>定期外卖废品回收站</w:t>
      </w:r>
      <w:r>
        <w:rPr>
          <w:rFonts w:hint="eastAsia"/>
          <w:highlight w:val="none"/>
          <w:lang w:eastAsia="zh-CN"/>
        </w:rPr>
        <w:t>；</w:t>
      </w:r>
      <w:r>
        <w:rPr>
          <w:rFonts w:hint="eastAsia" w:cs="Times New Roman"/>
          <w:highlight w:val="none"/>
          <w:lang w:val="en-US" w:eastAsia="zh-CN"/>
        </w:rPr>
        <w:t>焊接烟尘及焊渣集中收集，由环卫部门定期清运；废布袋及生活垃圾由环卫部门定期处理。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</w:pPr>
      <w:r>
        <w:rPr>
          <w:rFonts w:hint="eastAsia" w:cs="仿宋_GB2312"/>
          <w:color w:val="auto"/>
          <w:kern w:val="0"/>
          <w:sz w:val="32"/>
          <w:szCs w:val="32"/>
          <w:lang w:val="en-US" w:eastAsia="zh-CN" w:bidi="ar-SA"/>
        </w:rPr>
        <w:t>三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  <w:t>、建设项目的环境影响评价文件经批准后，建设项目的性质、规模、地点、采用的生产工艺或者防治污染、防止生态破坏的措施发生重大变动的，建设单位应当重新报批建设项目的环境影响评价文件。建设项目的环境影响评价文件自批准之日起超过五年，方决定该项目开工建设的，其环境影响评价文件应当重新审核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</w:pPr>
      <w:r>
        <w:rPr>
          <w:rFonts w:hint="eastAsia" w:cs="仿宋_GB2312"/>
          <w:color w:val="auto"/>
          <w:kern w:val="0"/>
          <w:sz w:val="32"/>
          <w:szCs w:val="32"/>
          <w:lang w:val="en-US" w:eastAsia="zh-CN" w:bidi="ar-SA"/>
        </w:rPr>
        <w:t>四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  <w:t>、有机衔接环境影响评价与排污许可证申领。按照《排污许可管理办法》的要求，项目在启动生产设施或者在实际排污之前，申请并领取排污许可证，要将经批准的环境影响评价文件中各项环境保护措施、污染物排放清单及其他有关内容载入排污许可证，并按证排污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</w:pPr>
      <w:r>
        <w:rPr>
          <w:rFonts w:hint="eastAsia" w:cs="仿宋_GB2312"/>
          <w:color w:val="auto"/>
          <w:kern w:val="0"/>
          <w:sz w:val="32"/>
          <w:szCs w:val="32"/>
          <w:lang w:val="en-US" w:eastAsia="zh-CN" w:bidi="ar-SA"/>
        </w:rPr>
        <w:t>五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  <w:t>、项目建设要严格执行配套建设的环境保护设施与主体工程同时设计、同时施工、同时投入使用的环境保护“三同时”制度。项目竣工后，建设单位按规定程序进行环保设施竣工验收。验收合格后，项目方可正式投入运行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cs="仿宋_GB2312"/>
          <w:color w:val="auto"/>
          <w:kern w:val="0"/>
          <w:sz w:val="32"/>
          <w:szCs w:val="32"/>
          <w:lang w:val="en-US" w:eastAsia="zh-CN" w:bidi="ar-SA"/>
        </w:rPr>
        <w:t>六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  <w:t>、由吉林市生态环境保护综合行政执法支队龙潭大队负责按照《建设项目环境保护事中事后监督管理办法(试行)》(环发［2015］163号)的规定，进行本建设项目事中事后的环境监督管理工作。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60" w:lineRule="exact"/>
        <w:ind w:firstLine="4480" w:firstLineChars="14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吉林市生态环境局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60" w:lineRule="exact"/>
        <w:ind w:firstLine="4800" w:firstLineChars="1500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cs="仿宋_GB2312"/>
          <w:sz w:val="32"/>
          <w:szCs w:val="32"/>
          <w:lang w:val="en-US" w:eastAsia="zh-CN"/>
        </w:rPr>
        <w:t>2023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cs="仿宋_GB2312"/>
          <w:sz w:val="32"/>
          <w:szCs w:val="32"/>
          <w:lang w:val="en-US" w:eastAsia="zh-CN"/>
        </w:rPr>
        <w:t>7月12</w:t>
      </w:r>
      <w:r>
        <w:rPr>
          <w:rFonts w:hint="eastAsia" w:ascii="仿宋_GB2312" w:hAnsi="仿宋_GB2312" w:eastAsia="仿宋_GB2312" w:cs="仿宋_GB2312"/>
          <w:sz w:val="32"/>
          <w:szCs w:val="32"/>
        </w:rPr>
        <w:t>日</w:t>
      </w:r>
      <w:r>
        <w:rPr>
          <w:rFonts w:hint="eastAsia" w:cs="仿宋_GB2312"/>
          <w:sz w:val="32"/>
          <w:szCs w:val="32"/>
          <w:lang w:val="en-US" w:eastAsia="zh-CN"/>
        </w:rPr>
        <w:t xml:space="preserve">        </w:t>
      </w:r>
    </w:p>
    <w:tbl>
      <w:tblPr>
        <w:tblStyle w:val="16"/>
        <w:tblpPr w:vertAnchor="page" w:horzAnchor="page" w:tblpX="1648" w:tblpY="14072"/>
        <w:tblOverlap w:val="never"/>
        <w:tblW w:w="8861" w:type="dxa"/>
        <w:tblInd w:w="0" w:type="dxa"/>
        <w:tblBorders>
          <w:top w:val="single" w:color="auto" w:sz="12" w:space="0"/>
          <w:left w:val="none" w:color="auto" w:sz="0" w:space="0"/>
          <w:bottom w:val="single" w:color="auto" w:sz="12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4430"/>
        <w:gridCol w:w="4431"/>
      </w:tblGrid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1" w:hRule="atLeast"/>
          <w:tblHeader/>
        </w:trPr>
        <w:tc>
          <w:tcPr>
            <w:tcW w:w="8861" w:type="dxa"/>
            <w:gridSpan w:val="2"/>
            <w:shd w:val="clear" w:color="auto" w:fill="auto"/>
          </w:tcPr>
          <w:p>
            <w:pPr>
              <w:ind w:left="1160" w:leftChars="100" w:hanging="840" w:hangingChars="300"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抄送：吉林市生态环境保护综合行政执法支队龙潭大队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吉林化工学院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1" w:hRule="atLeast"/>
        </w:trPr>
        <w:tc>
          <w:tcPr>
            <w:tcW w:w="4430" w:type="dxa"/>
            <w:shd w:val="clear" w:color="auto" w:fill="auto"/>
          </w:tcPr>
          <w:p>
            <w:pPr>
              <w:ind w:left="0" w:leftChars="0" w:firstLine="280" w:firstLineChars="100"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吉林市生态环境局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7620</wp:posOffset>
                      </wp:positionH>
                      <wp:positionV relativeFrom="paragraph">
                        <wp:posOffset>5715</wp:posOffset>
                      </wp:positionV>
                      <wp:extent cx="5622290" cy="0"/>
                      <wp:effectExtent l="0" t="0" r="0" b="0"/>
                      <wp:wrapNone/>
                      <wp:docPr id="4" name="直接连接符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5622290" cy="0"/>
                              </a:xfrm>
                              <a:prstGeom prst="line">
                                <a:avLst/>
                              </a:prstGeom>
                              <a:ln w="635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margin-left:0.6pt;margin-top:0.45pt;height:0pt;width:442.7pt;z-index:251660288;mso-width-relative:page;mso-height-relative:page;" filled="f" stroked="t" coordsize="21600,21600" o:gfxdata="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">
                      <v:fill on="f" focussize="0,0"/>
                      <v:stroke weight="0.5pt" color="#000000 [3213]" miterlimit="8" joinstyle="miter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4431" w:type="dxa"/>
            <w:shd w:val="clear" w:color="auto" w:fill="auto"/>
          </w:tcPr>
          <w:p>
            <w:pPr>
              <w:ind w:right="320" w:rightChars="100"/>
              <w:jc w:val="righ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cs="仿宋_GB2312"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年</w:t>
            </w:r>
            <w:r>
              <w:rPr>
                <w:rFonts w:hint="eastAsia" w:cs="仿宋_GB2312"/>
                <w:sz w:val="28"/>
                <w:szCs w:val="28"/>
                <w:lang w:val="en-US" w:eastAsia="zh-CN"/>
              </w:rPr>
              <w:t>7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月</w:t>
            </w:r>
            <w:r>
              <w:rPr>
                <w:rFonts w:hint="eastAsia" w:cs="仿宋_GB2312"/>
                <w:sz w:val="28"/>
                <w:szCs w:val="28"/>
                <w:lang w:val="en-US" w:eastAsia="zh-CN"/>
              </w:rPr>
              <w:t>12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日印发</w:t>
            </w:r>
          </w:p>
        </w:tc>
      </w:tr>
    </w:tbl>
    <w:p>
      <w:pPr>
        <w:keepNext w:val="0"/>
        <w:keepLines w:val="0"/>
        <w:pageBreakBefore w:val="0"/>
        <w:widowControl w:val="0"/>
        <w:tabs>
          <w:tab w:val="left" w:pos="54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textAlignment w:val="auto"/>
        <w:rPr>
          <w:rFonts w:hint="eastAsia"/>
          <w:lang w:val="en-US" w:eastAsia="zh-CN"/>
        </w:rPr>
      </w:pPr>
    </w:p>
    <w:sectPr>
      <w:footerReference r:id="rId5" w:type="default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40"/>
      </w:pPr>
      <w:r>
        <w:separator/>
      </w:r>
    </w:p>
  </w:endnote>
  <w:endnote w:type="continuationSeparator" w:id="1">
    <w:p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1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11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1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640"/>
      </w:pPr>
      <w:r>
        <w:separator/>
      </w:r>
    </w:p>
  </w:footnote>
  <w:footnote w:type="continuationSeparator" w:id="1">
    <w:p>
      <w:pPr>
        <w:spacing w:line="240" w:lineRule="auto"/>
        <w:ind w:firstLine="64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1F31924"/>
    <w:multiLevelType w:val="singleLevel"/>
    <w:tmpl w:val="01F31924"/>
    <w:lvl w:ilvl="0" w:tentative="0">
      <w:start w:val="1"/>
      <w:numFmt w:val="bullet"/>
      <w:pStyle w:val="9"/>
      <w:lvlText w:val=""/>
      <w:lvlJc w:val="left"/>
      <w:pPr>
        <w:tabs>
          <w:tab w:val="left" w:pos="2040"/>
        </w:tabs>
        <w:ind w:left="2040" w:hanging="360"/>
      </w:pPr>
      <w:rPr>
        <w:rFonts w:hint="default" w:ascii="Wingdings" w:hAnsi="Wingdings"/>
      </w:rPr>
    </w:lvl>
  </w:abstractNum>
  <w:abstractNum w:abstractNumId="1">
    <w:nsid w:val="73E381FC"/>
    <w:multiLevelType w:val="multilevel"/>
    <w:tmpl w:val="73E381FC"/>
    <w:lvl w:ilvl="0" w:tentative="0">
      <w:start w:val="1"/>
      <w:numFmt w:val="chineseCounting"/>
      <w:pStyle w:val="3"/>
      <w:suff w:val="nothing"/>
      <w:lvlText w:val="%1、"/>
      <w:lvlJc w:val="left"/>
      <w:pPr>
        <w:tabs>
          <w:tab w:val="left" w:pos="993"/>
        </w:tabs>
        <w:ind w:left="993" w:firstLine="0"/>
      </w:pPr>
      <w:rPr>
        <w:rFonts w:hint="eastAsia"/>
      </w:rPr>
    </w:lvl>
    <w:lvl w:ilvl="1" w:tentative="0">
      <w:start w:val="1"/>
      <w:numFmt w:val="chineseCounting"/>
      <w:pStyle w:val="4"/>
      <w:suff w:val="nothing"/>
      <w:lvlText w:val="（%2）"/>
      <w:lvlJc w:val="left"/>
      <w:pPr>
        <w:ind w:left="993" w:firstLine="0"/>
      </w:pPr>
      <w:rPr>
        <w:rFonts w:hint="eastAsia" w:ascii="仿宋" w:hAnsi="仿宋" w:eastAsia="仿宋" w:cs="宋体"/>
      </w:rPr>
    </w:lvl>
    <w:lvl w:ilvl="2" w:tentative="0">
      <w:start w:val="1"/>
      <w:numFmt w:val="decimal"/>
      <w:pStyle w:val="5"/>
      <w:suff w:val="nothing"/>
      <w:lvlText w:val="%3．"/>
      <w:lvlJc w:val="left"/>
      <w:pPr>
        <w:ind w:left="993" w:firstLine="400"/>
      </w:pPr>
      <w:rPr>
        <w:rFonts w:hint="eastAsia" w:ascii="宋体" w:hAnsi="宋体" w:eastAsia="宋体" w:cs="宋体"/>
      </w:rPr>
    </w:lvl>
    <w:lvl w:ilvl="3" w:tentative="0">
      <w:start w:val="1"/>
      <w:numFmt w:val="decimal"/>
      <w:suff w:val="nothing"/>
      <w:lvlText w:val="（%4）"/>
      <w:lvlJc w:val="left"/>
      <w:pPr>
        <w:ind w:left="1017" w:firstLine="402"/>
      </w:pPr>
      <w:rPr>
        <w:rFonts w:hint="eastAsia" w:ascii="宋体" w:hAnsi="宋体" w:eastAsia="宋体" w:cs="宋体"/>
        <w:lang w:val="en-US"/>
      </w:rPr>
    </w:lvl>
    <w:lvl w:ilvl="4" w:tentative="0">
      <w:start w:val="1"/>
      <w:numFmt w:val="decimalEnclosedCircleChinese"/>
      <w:suff w:val="nothing"/>
      <w:lvlText w:val="%5"/>
      <w:lvlJc w:val="left"/>
      <w:pPr>
        <w:ind w:left="993" w:firstLine="402"/>
      </w:pPr>
      <w:rPr>
        <w:rFonts w:hint="eastAsia"/>
      </w:rPr>
    </w:lvl>
    <w:lvl w:ilvl="5" w:tentative="0">
      <w:start w:val="1"/>
      <w:numFmt w:val="decimal"/>
      <w:suff w:val="nothing"/>
      <w:lvlText w:val="%6）"/>
      <w:lvlJc w:val="left"/>
      <w:pPr>
        <w:ind w:left="993" w:firstLine="402"/>
      </w:pPr>
      <w:rPr>
        <w:rFonts w:hint="eastAsia"/>
      </w:rPr>
    </w:lvl>
    <w:lvl w:ilvl="6" w:tentative="0">
      <w:start w:val="1"/>
      <w:numFmt w:val="lowerLetter"/>
      <w:suff w:val="nothing"/>
      <w:lvlText w:val="%7．"/>
      <w:lvlJc w:val="left"/>
      <w:pPr>
        <w:ind w:left="993" w:firstLine="402"/>
      </w:pPr>
      <w:rPr>
        <w:rFonts w:hint="eastAsia"/>
      </w:rPr>
    </w:lvl>
    <w:lvl w:ilvl="7" w:tentative="0">
      <w:start w:val="1"/>
      <w:numFmt w:val="lowerLetter"/>
      <w:suff w:val="nothing"/>
      <w:lvlText w:val="%8）"/>
      <w:lvlJc w:val="left"/>
      <w:pPr>
        <w:ind w:left="993" w:firstLine="402"/>
      </w:pPr>
      <w:rPr>
        <w:rFonts w:hint="eastAsia"/>
      </w:rPr>
    </w:lvl>
    <w:lvl w:ilvl="8" w:tentative="0">
      <w:start w:val="1"/>
      <w:numFmt w:val="lowerRoman"/>
      <w:suff w:val="nothing"/>
      <w:lvlText w:val="%9 "/>
      <w:lvlJc w:val="left"/>
      <w:pPr>
        <w:ind w:left="993" w:firstLine="402"/>
      </w:pPr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ljMTIyMzMxMGUyZGRiNjRkMDExZjZjMjcxNWM0YmQifQ=="/>
  </w:docVars>
  <w:rsids>
    <w:rsidRoot w:val="535011CF"/>
    <w:rsid w:val="01215C29"/>
    <w:rsid w:val="07264286"/>
    <w:rsid w:val="07542310"/>
    <w:rsid w:val="08EA2658"/>
    <w:rsid w:val="0A094D1A"/>
    <w:rsid w:val="0C7236B3"/>
    <w:rsid w:val="0D832131"/>
    <w:rsid w:val="0E102B78"/>
    <w:rsid w:val="0F062414"/>
    <w:rsid w:val="0F914A2F"/>
    <w:rsid w:val="0FBB63AF"/>
    <w:rsid w:val="0FE15608"/>
    <w:rsid w:val="116E69B0"/>
    <w:rsid w:val="121B3756"/>
    <w:rsid w:val="12270675"/>
    <w:rsid w:val="14311A36"/>
    <w:rsid w:val="15D37529"/>
    <w:rsid w:val="160B1746"/>
    <w:rsid w:val="18381EC3"/>
    <w:rsid w:val="18527E28"/>
    <w:rsid w:val="19D8137C"/>
    <w:rsid w:val="1A50276F"/>
    <w:rsid w:val="1B1F3CE5"/>
    <w:rsid w:val="1B72560B"/>
    <w:rsid w:val="1D4568F4"/>
    <w:rsid w:val="1F196F14"/>
    <w:rsid w:val="1F560908"/>
    <w:rsid w:val="2155673D"/>
    <w:rsid w:val="217B49B5"/>
    <w:rsid w:val="25334FFC"/>
    <w:rsid w:val="26E60F2F"/>
    <w:rsid w:val="2777171F"/>
    <w:rsid w:val="28374BF9"/>
    <w:rsid w:val="283F0D7D"/>
    <w:rsid w:val="29F17A79"/>
    <w:rsid w:val="2BEF7F49"/>
    <w:rsid w:val="2E8A5DA3"/>
    <w:rsid w:val="2EE94141"/>
    <w:rsid w:val="310F3168"/>
    <w:rsid w:val="355A7EE2"/>
    <w:rsid w:val="355D1A20"/>
    <w:rsid w:val="380541CD"/>
    <w:rsid w:val="38A731BC"/>
    <w:rsid w:val="38AB0E58"/>
    <w:rsid w:val="3971572F"/>
    <w:rsid w:val="3A4A0CD0"/>
    <w:rsid w:val="3AED682B"/>
    <w:rsid w:val="3AF143FE"/>
    <w:rsid w:val="3B164258"/>
    <w:rsid w:val="3D8E4D06"/>
    <w:rsid w:val="3EC15C04"/>
    <w:rsid w:val="3EE52FF3"/>
    <w:rsid w:val="44B65B7C"/>
    <w:rsid w:val="47107A2C"/>
    <w:rsid w:val="47B02837"/>
    <w:rsid w:val="49881965"/>
    <w:rsid w:val="4A797DE0"/>
    <w:rsid w:val="4A9C14F9"/>
    <w:rsid w:val="4B701D22"/>
    <w:rsid w:val="535011CF"/>
    <w:rsid w:val="55641C22"/>
    <w:rsid w:val="56EE7B37"/>
    <w:rsid w:val="57576CA1"/>
    <w:rsid w:val="57582925"/>
    <w:rsid w:val="5F4C40E0"/>
    <w:rsid w:val="60AD69D7"/>
    <w:rsid w:val="61033D11"/>
    <w:rsid w:val="61B7275D"/>
    <w:rsid w:val="621A0BB0"/>
    <w:rsid w:val="62341F48"/>
    <w:rsid w:val="63A11840"/>
    <w:rsid w:val="66095259"/>
    <w:rsid w:val="685B4774"/>
    <w:rsid w:val="6A524E2D"/>
    <w:rsid w:val="6B5B051B"/>
    <w:rsid w:val="6B5B0D2F"/>
    <w:rsid w:val="6EFB604C"/>
    <w:rsid w:val="6F2B728F"/>
    <w:rsid w:val="70886160"/>
    <w:rsid w:val="71E3174B"/>
    <w:rsid w:val="73F12BC9"/>
    <w:rsid w:val="74BA710A"/>
    <w:rsid w:val="77E77D4F"/>
    <w:rsid w:val="7C1B42AF"/>
    <w:rsid w:val="7C9F0813"/>
    <w:rsid w:val="7D1363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semiHidden="0" w:name="toc 1"/>
    <w:lsdException w:qFormat="1"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nhideWhenUsed="0" w:uiPriority="0" w:semiHidden="0" w:name="footnote text"/>
    <w:lsdException w:qFormat="1" w:unhideWhenUsed="0"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qFormat="1"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576" w:lineRule="exact"/>
      <w:ind w:firstLine="600" w:firstLineChars="200"/>
      <w:jc w:val="both"/>
    </w:pPr>
    <w:rPr>
      <w:rFonts w:ascii="仿宋_GB2312" w:hAnsi="仿宋_GB2312" w:eastAsia="仿宋_GB2312" w:cs="Times New Roman"/>
      <w:kern w:val="2"/>
      <w:sz w:val="32"/>
      <w:szCs w:val="32"/>
      <w:lang w:val="en-US" w:eastAsia="zh-CN" w:bidi="ar-SA"/>
    </w:rPr>
  </w:style>
  <w:style w:type="paragraph" w:styleId="3">
    <w:name w:val="heading 1"/>
    <w:basedOn w:val="1"/>
    <w:next w:val="1"/>
    <w:link w:val="19"/>
    <w:qFormat/>
    <w:uiPriority w:val="0"/>
    <w:pPr>
      <w:keepNext/>
      <w:keepLines/>
      <w:numPr>
        <w:ilvl w:val="0"/>
        <w:numId w:val="1"/>
      </w:numPr>
      <w:tabs>
        <w:tab w:val="left" w:pos="0"/>
      </w:tabs>
      <w:spacing w:line="360" w:lineRule="auto"/>
      <w:jc w:val="center"/>
      <w:outlineLvl w:val="0"/>
    </w:pPr>
    <w:rPr>
      <w:rFonts w:ascii="Calibri" w:hAnsi="Calibri" w:eastAsia="宋体"/>
      <w:b/>
      <w:kern w:val="44"/>
      <w:sz w:val="44"/>
    </w:rPr>
  </w:style>
  <w:style w:type="paragraph" w:styleId="4">
    <w:name w:val="heading 2"/>
    <w:basedOn w:val="1"/>
    <w:next w:val="1"/>
    <w:link w:val="18"/>
    <w:semiHidden/>
    <w:unhideWhenUsed/>
    <w:qFormat/>
    <w:uiPriority w:val="0"/>
    <w:pPr>
      <w:keepNext/>
      <w:keepLines/>
      <w:numPr>
        <w:ilvl w:val="1"/>
        <w:numId w:val="1"/>
      </w:numPr>
      <w:spacing w:before="260" w:after="260" w:line="412" w:lineRule="auto"/>
      <w:ind w:left="993"/>
      <w:jc w:val="left"/>
      <w:outlineLvl w:val="1"/>
    </w:pPr>
    <w:rPr>
      <w:rFonts w:ascii="Arial" w:hAnsi="Arial" w:eastAsia="宋体" w:cs="Times New Roman"/>
      <w:b/>
      <w:bCs/>
      <w:sz w:val="28"/>
      <w:szCs w:val="32"/>
    </w:rPr>
  </w:style>
  <w:style w:type="paragraph" w:styleId="5">
    <w:name w:val="heading 3"/>
    <w:basedOn w:val="1"/>
    <w:next w:val="1"/>
    <w:semiHidden/>
    <w:unhideWhenUsed/>
    <w:qFormat/>
    <w:uiPriority w:val="0"/>
    <w:pPr>
      <w:keepNext/>
      <w:keepLines/>
      <w:numPr>
        <w:ilvl w:val="2"/>
        <w:numId w:val="1"/>
      </w:numPr>
      <w:spacing w:before="260" w:beforeLines="0" w:beforeAutospacing="0" w:after="260" w:afterLines="0" w:afterAutospacing="0" w:line="413" w:lineRule="auto"/>
      <w:ind w:left="993" w:firstLine="400"/>
      <w:outlineLvl w:val="2"/>
    </w:pPr>
    <w:rPr>
      <w:b/>
      <w:sz w:val="32"/>
    </w:rPr>
  </w:style>
  <w:style w:type="character" w:default="1" w:styleId="17">
    <w:name w:val="Default Paragraph Font"/>
    <w:semiHidden/>
    <w:qFormat/>
    <w:uiPriority w:val="0"/>
  </w:style>
  <w:style w:type="table" w:default="1" w:styleId="1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样式 正文11 + 首行缩进:  2 字符"/>
    <w:basedOn w:val="1"/>
    <w:qFormat/>
    <w:uiPriority w:val="0"/>
    <w:pPr>
      <w:spacing w:line="500" w:lineRule="exact"/>
      <w:ind w:firstLine="560" w:firstLineChars="200"/>
    </w:pPr>
    <w:rPr>
      <w:rFonts w:ascii="宋体" w:hAnsi="宋体" w:cs="宋体"/>
      <w:color w:val="FF0000"/>
      <w:sz w:val="28"/>
      <w:szCs w:val="20"/>
    </w:rPr>
  </w:style>
  <w:style w:type="paragraph" w:styleId="6">
    <w:name w:val="annotation text"/>
    <w:basedOn w:val="1"/>
    <w:semiHidden/>
    <w:qFormat/>
    <w:uiPriority w:val="0"/>
    <w:pPr>
      <w:jc w:val="left"/>
    </w:pPr>
    <w:rPr>
      <w:kern w:val="0"/>
      <w:sz w:val="24"/>
      <w:szCs w:val="20"/>
    </w:rPr>
  </w:style>
  <w:style w:type="paragraph" w:styleId="7">
    <w:name w:val="Body Text"/>
    <w:basedOn w:val="1"/>
    <w:next w:val="8"/>
    <w:qFormat/>
    <w:uiPriority w:val="0"/>
    <w:rPr>
      <w:sz w:val="28"/>
    </w:rPr>
  </w:style>
  <w:style w:type="paragraph" w:styleId="8">
    <w:name w:val="toc 1"/>
    <w:basedOn w:val="1"/>
    <w:next w:val="1"/>
    <w:qFormat/>
    <w:uiPriority w:val="0"/>
  </w:style>
  <w:style w:type="paragraph" w:styleId="9">
    <w:name w:val="List Bullet 5"/>
    <w:basedOn w:val="1"/>
    <w:qFormat/>
    <w:uiPriority w:val="0"/>
    <w:pPr>
      <w:numPr>
        <w:ilvl w:val="0"/>
        <w:numId w:val="2"/>
      </w:numPr>
    </w:pPr>
  </w:style>
  <w:style w:type="paragraph" w:styleId="10">
    <w:name w:val="Date"/>
    <w:basedOn w:val="1"/>
    <w:next w:val="1"/>
    <w:qFormat/>
    <w:uiPriority w:val="0"/>
    <w:pPr>
      <w:ind w:leftChars="2500"/>
    </w:pPr>
    <w:rPr>
      <w:rFonts w:eastAsia="仿宋_GB2312"/>
      <w:sz w:val="32"/>
    </w:rPr>
  </w:style>
  <w:style w:type="paragraph" w:styleId="11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12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13">
    <w:name w:val="footnote text"/>
    <w:basedOn w:val="1"/>
    <w:qFormat/>
    <w:uiPriority w:val="0"/>
    <w:pPr>
      <w:snapToGrid w:val="0"/>
      <w:jc w:val="left"/>
    </w:pPr>
    <w:rPr>
      <w:sz w:val="18"/>
    </w:rPr>
  </w:style>
  <w:style w:type="paragraph" w:styleId="14">
    <w:name w:val="toc 2"/>
    <w:basedOn w:val="1"/>
    <w:next w:val="1"/>
    <w:qFormat/>
    <w:uiPriority w:val="0"/>
    <w:pPr>
      <w:ind w:left="420" w:leftChars="200"/>
    </w:pPr>
  </w:style>
  <w:style w:type="table" w:styleId="16">
    <w:name w:val="Table Grid"/>
    <w:basedOn w:val="15"/>
    <w:qFormat/>
    <w:uiPriority w:val="39"/>
    <w:rPr>
      <w:rFonts w:ascii="Times New Roman" w:hAnsi="Times New Roman" w:eastAsia="宋体"/>
      <w:szCs w:val="21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57" w:type="dxa"/>
        <w:bottom w:w="57" w:type="dxa"/>
      </w:tblCellMar>
    </w:tblPr>
    <w:tblStylePr w:type="firstRow">
      <w:tblPr/>
      <w:trPr>
        <w:tblHeader/>
      </w:trPr>
      <w:tcPr>
        <w:shd w:val="clear" w:color="auto" w:fill="D8D8D8" w:themeFill="background1" w:themeFillShade="D9"/>
      </w:tcPr>
    </w:tblStylePr>
  </w:style>
  <w:style w:type="character" w:customStyle="1" w:styleId="18">
    <w:name w:val="标题 2 Char"/>
    <w:link w:val="4"/>
    <w:qFormat/>
    <w:locked/>
    <w:uiPriority w:val="99"/>
    <w:rPr>
      <w:rFonts w:ascii="Arial" w:hAnsi="Arial" w:eastAsia="宋体" w:cs="Times New Roman"/>
      <w:b/>
      <w:bCs/>
      <w:sz w:val="28"/>
      <w:szCs w:val="32"/>
    </w:rPr>
  </w:style>
  <w:style w:type="character" w:customStyle="1" w:styleId="19">
    <w:name w:val="标题 1 Char"/>
    <w:link w:val="3"/>
    <w:qFormat/>
    <w:locked/>
    <w:uiPriority w:val="99"/>
    <w:rPr>
      <w:rFonts w:ascii="Calibri" w:hAnsi="Calibri" w:eastAsia="宋体"/>
      <w:b/>
      <w:kern w:val="44"/>
      <w:sz w:val="44"/>
      <w:szCs w:val="24"/>
      <w:lang w:bidi="ar-SA"/>
    </w:rPr>
  </w:style>
  <w:style w:type="paragraph" w:customStyle="1" w:styleId="20">
    <w:name w:val="Default"/>
    <w:basedOn w:val="1"/>
    <w:qFormat/>
    <w:uiPriority w:val="0"/>
    <w:pPr>
      <w:autoSpaceDE w:val="0"/>
      <w:autoSpaceDN w:val="0"/>
      <w:jc w:val="left"/>
    </w:pPr>
    <w:rPr>
      <w:rFonts w:hint="eastAsia" w:ascii="宋体" w:eastAsia="宋体" w:cs="Times New Roman"/>
      <w:color w:val="000000"/>
      <w:kern w:val="0"/>
      <w:sz w:val="24"/>
    </w:rPr>
  </w:style>
  <w:style w:type="paragraph" w:customStyle="1" w:styleId="21">
    <w:name w:val="环保表内字（小五）"/>
    <w:basedOn w:val="1"/>
    <w:qFormat/>
    <w:uiPriority w:val="0"/>
    <w:pPr>
      <w:adjustRightInd w:val="0"/>
      <w:snapToGrid w:val="0"/>
      <w:jc w:val="center"/>
    </w:pPr>
    <w:rPr>
      <w:rFonts w:ascii="宋体" w:hAnsi="宋体"/>
      <w:snapToGrid w:val="0"/>
      <w:sz w:val="18"/>
      <w:szCs w:val="20"/>
    </w:rPr>
  </w:style>
  <w:style w:type="paragraph" w:customStyle="1" w:styleId="22">
    <w:name w:val="正文文本1"/>
    <w:basedOn w:val="1"/>
    <w:qFormat/>
    <w:uiPriority w:val="0"/>
    <w:pPr>
      <w:spacing w:line="500" w:lineRule="exact"/>
    </w:pPr>
    <w:rPr>
      <w:rFonts w:ascii="宋体" w:hAnsi="宋体"/>
      <w:sz w:val="2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2383</Words>
  <Characters>2501</Characters>
  <Lines>0</Lines>
  <Paragraphs>0</Paragraphs>
  <TotalTime>0</TotalTime>
  <ScaleCrop>false</ScaleCrop>
  <LinksUpToDate>false</LinksUpToDate>
  <CharactersWithSpaces>2514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2022-08-19T03:38:00Z</dcterms:created>
  <dc:creator>优印图文1</dc:creator>
  <cp:lastModifiedBy>Administrator</cp:lastModifiedBy>
  <cp:lastPrinted>2023-07-12T01:12:00Z</cp:lastPrinted>
  <dcterms:modified xsi:type="dcterms:W3CDTF">2023-07-12T01:21:21Z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83895A02BA9C48A09395A1CF6AD24B08</vt:lpwstr>
  </property>
</Properties>
</file>