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5A68A">
      <w:pPr>
        <w:ind w:left="0" w:leftChars="0" w:firstLine="0" w:firstLineChars="0"/>
        <w:rPr>
          <w:rFonts w:hint="eastAsia" w:eastAsia="仿宋_GB2312"/>
          <w:sz w:val="32"/>
          <w:lang w:val="en-US" w:eastAsia="zh-CN"/>
        </w:rPr>
      </w:pPr>
    </w:p>
    <w:p w14:paraId="77C4D31A">
      <w:pPr>
        <w:bidi w:val="0"/>
        <w:rPr>
          <w:rFonts w:hint="eastAsia" w:ascii="仿宋_GB2312" w:hAnsi="仿宋_GB2312" w:eastAsia="仿宋_GB2312" w:cs="Times New Roman"/>
          <w:kern w:val="2"/>
          <w:sz w:val="32"/>
          <w:szCs w:val="32"/>
          <w:lang w:val="en-US" w:eastAsia="zh-CN" w:bidi="ar-SA"/>
        </w:rPr>
      </w:pPr>
    </w:p>
    <w:p w14:paraId="11392D1C">
      <w:pPr>
        <w:bidi w:val="0"/>
        <w:rPr>
          <w:rFonts w:hint="eastAsia"/>
          <w:lang w:val="en-US" w:eastAsia="zh-CN"/>
        </w:rPr>
      </w:pPr>
    </w:p>
    <w:p w14:paraId="38EBD69D">
      <w:pPr>
        <w:bidi w:val="0"/>
        <w:rPr>
          <w:rFonts w:hint="eastAsia"/>
          <w:lang w:val="en-US" w:eastAsia="zh-CN"/>
        </w:rPr>
      </w:pPr>
    </w:p>
    <w:p w14:paraId="44954A7F">
      <w:pPr>
        <w:bidi w:val="0"/>
        <w:rPr>
          <w:rFonts w:hint="eastAsia"/>
          <w:lang w:val="en-US" w:eastAsia="zh-CN"/>
        </w:rPr>
      </w:pPr>
    </w:p>
    <w:p w14:paraId="1DC0DB27">
      <w:pPr>
        <w:bidi w:val="0"/>
        <w:rPr>
          <w:rFonts w:hint="eastAsia"/>
          <w:lang w:val="en-US" w:eastAsia="zh-CN"/>
        </w:rPr>
      </w:pPr>
    </w:p>
    <w:p w14:paraId="1CEBAE0C">
      <w:pPr>
        <w:bidi w:val="0"/>
        <w:rPr>
          <w:rFonts w:hint="eastAsia"/>
          <w:lang w:val="en-US" w:eastAsia="zh-CN"/>
        </w:rPr>
      </w:pPr>
    </w:p>
    <w:p w14:paraId="5F4EEF7E">
      <w:pPr>
        <w:bidi w:val="0"/>
        <w:ind w:left="0" w:leftChars="0" w:firstLine="0" w:firstLineChars="0"/>
        <w:jc w:val="center"/>
        <w:rPr>
          <w:rFonts w:hint="eastAsia" w:ascii="仿宋_GB2312" w:hAnsi="仿宋_GB2312" w:eastAsia="仿宋_GB2312" w:cs="仿宋_GB2312"/>
          <w:spacing w:val="-20"/>
          <w:sz w:val="32"/>
          <w:szCs w:val="32"/>
        </w:rPr>
      </w:pPr>
    </w:p>
    <w:p w14:paraId="410B65C5">
      <w:pPr>
        <w:bidi w:val="0"/>
        <w:ind w:left="0" w:leftChars="0" w:firstLine="0" w:firstLineChars="0"/>
        <w:jc w:val="center"/>
        <w:rPr>
          <w:rFonts w:hint="eastAsia"/>
          <w:lang w:val="en-US" w:eastAsia="zh-CN"/>
        </w:rPr>
      </w:pPr>
      <w:r>
        <w:rPr>
          <w:rFonts w:hint="eastAsia" w:ascii="仿宋_GB2312" w:hAnsi="仿宋_GB2312" w:eastAsia="仿宋_GB2312" w:cs="仿宋_GB2312"/>
          <w:spacing w:val="-20"/>
          <w:sz w:val="32"/>
          <w:szCs w:val="32"/>
        </w:rPr>
        <w:t>吉市（龙）环建（表）字〔20</w:t>
      </w:r>
      <w:r>
        <w:rPr>
          <w:rFonts w:hint="eastAsia" w:cs="仿宋_GB2312"/>
          <w:spacing w:val="-20"/>
          <w:sz w:val="32"/>
          <w:szCs w:val="32"/>
          <w:lang w:val="en-US" w:eastAsia="zh-CN"/>
        </w:rPr>
        <w:t>25</w:t>
      </w:r>
      <w:r>
        <w:rPr>
          <w:rFonts w:hint="eastAsia" w:ascii="仿宋_GB2312" w:hAnsi="仿宋_GB2312" w:eastAsia="仿宋_GB2312" w:cs="仿宋_GB2312"/>
          <w:spacing w:val="-20"/>
          <w:sz w:val="32"/>
          <w:szCs w:val="32"/>
        </w:rPr>
        <w:t>〕</w:t>
      </w:r>
      <w:r>
        <w:rPr>
          <w:rFonts w:hint="eastAsia" w:cs="仿宋_GB2312"/>
          <w:spacing w:val="-20"/>
          <w:sz w:val="32"/>
          <w:szCs w:val="32"/>
          <w:lang w:val="en-US" w:eastAsia="zh-CN"/>
        </w:rPr>
        <w:t>13</w:t>
      </w:r>
      <w:r>
        <w:rPr>
          <w:rFonts w:hint="eastAsia" w:ascii="仿宋_GB2312" w:hAnsi="仿宋_GB2312" w:eastAsia="仿宋_GB2312" w:cs="仿宋_GB2312"/>
          <w:spacing w:val="-20"/>
          <w:sz w:val="32"/>
          <w:szCs w:val="32"/>
        </w:rPr>
        <w:t>号</w:t>
      </w:r>
    </w:p>
    <w:p w14:paraId="517D7477">
      <w:pPr>
        <w:bidi w:val="0"/>
        <w:ind w:left="0" w:leftChars="0" w:firstLine="0" w:firstLineChars="0"/>
        <w:jc w:val="both"/>
        <w:rPr>
          <w:rFonts w:hint="eastAsia" w:ascii="仿宋_GB2312" w:hAnsi="仿宋_GB2312" w:eastAsia="仿宋_GB2312" w:cs="仿宋_GB2312"/>
          <w:spacing w:val="-20"/>
          <w:sz w:val="32"/>
          <w:szCs w:val="32"/>
        </w:rPr>
      </w:pPr>
    </w:p>
    <w:p w14:paraId="3EBFBD4A">
      <w:pPr>
        <w:pStyle w:val="8"/>
        <w:ind w:left="0" w:leftChars="0" w:firstLine="0" w:firstLineChars="0"/>
        <w:jc w:val="center"/>
        <w:rPr>
          <w:rFonts w:hint="eastAsia" w:ascii="方正小标宋简体" w:hAnsi="方正小标宋简体" w:eastAsia="方正小标宋简体" w:cs="方正小标宋简体"/>
          <w:b w:val="0"/>
          <w:bCs w:val="0"/>
          <w:w w:val="90"/>
          <w:kern w:val="2"/>
          <w:sz w:val="44"/>
          <w:szCs w:val="44"/>
          <w:lang w:val="en-US" w:eastAsia="zh-CN" w:bidi="ar-SA"/>
        </w:rPr>
      </w:pPr>
      <w:r>
        <w:rPr>
          <w:rFonts w:hint="eastAsia" w:ascii="方正小标宋简体" w:hAnsi="方正小标宋简体" w:eastAsia="方正小标宋简体" w:cs="方正小标宋简体"/>
          <w:b w:val="0"/>
          <w:bCs w:val="0"/>
          <w:w w:val="90"/>
          <w:kern w:val="2"/>
          <w:sz w:val="44"/>
          <w:szCs w:val="44"/>
          <w:lang w:val="en-US" w:eastAsia="zh-CN" w:bidi="ar-SA"/>
        </w:rPr>
        <w:t>关于吉林市吉龙清洁能源有限公司天然气应急</w:t>
      </w:r>
    </w:p>
    <w:p w14:paraId="44FAB312">
      <w:pPr>
        <w:pStyle w:val="8"/>
        <w:ind w:left="0" w:leftChars="0" w:firstLine="0" w:firstLineChars="0"/>
        <w:jc w:val="center"/>
        <w:rPr>
          <w:rFonts w:hint="eastAsia" w:ascii="方正小标宋简体" w:hAnsi="方正小标宋简体" w:eastAsia="方正小标宋简体" w:cs="方正小标宋简体"/>
          <w:b w:val="0"/>
          <w:bCs w:val="0"/>
          <w:w w:val="90"/>
          <w:sz w:val="44"/>
          <w:szCs w:val="44"/>
        </w:rPr>
      </w:pPr>
      <w:r>
        <w:rPr>
          <w:rFonts w:hint="eastAsia" w:ascii="方正小标宋简体" w:hAnsi="方正小标宋简体" w:eastAsia="方正小标宋简体" w:cs="方正小标宋简体"/>
          <w:b w:val="0"/>
          <w:bCs w:val="0"/>
          <w:w w:val="90"/>
          <w:kern w:val="2"/>
          <w:sz w:val="44"/>
          <w:szCs w:val="44"/>
          <w:lang w:val="en-US" w:eastAsia="zh-CN" w:bidi="ar-SA"/>
        </w:rPr>
        <w:t>储备站工程建设项目</w:t>
      </w:r>
      <w:r>
        <w:rPr>
          <w:rFonts w:hint="eastAsia" w:ascii="方正小标宋简体" w:hAnsi="方正小标宋简体" w:eastAsia="方正小标宋简体" w:cs="方正小标宋简体"/>
          <w:b w:val="0"/>
          <w:bCs w:val="0"/>
          <w:w w:val="90"/>
          <w:sz w:val="44"/>
          <w:szCs w:val="44"/>
        </w:rPr>
        <w:t>环境影响报告表的批复</w:t>
      </w:r>
    </w:p>
    <w:p w14:paraId="757D831E">
      <w:pPr>
        <w:pStyle w:val="8"/>
        <w:ind w:left="0" w:leftChars="0" w:firstLine="0" w:firstLineChars="0"/>
        <w:jc w:val="center"/>
        <w:rPr>
          <w:rFonts w:hint="eastAsia" w:ascii="方正小标宋简体" w:hAnsi="方正小标宋简体" w:eastAsia="方正小标宋简体" w:cs="方正小标宋简体"/>
          <w:b w:val="0"/>
          <w:bCs w:val="0"/>
          <w:w w:val="90"/>
          <w:sz w:val="44"/>
          <w:szCs w:val="44"/>
          <w:lang w:val="en-US" w:eastAsia="zh-CN"/>
        </w:rPr>
      </w:pPr>
    </w:p>
    <w:p w14:paraId="6D12A0B2">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0" w:firstLineChars="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吉林市吉龙清洁能源有限公司： </w:t>
      </w:r>
    </w:p>
    <w:p w14:paraId="4EF8D77C">
      <w:pPr>
        <w:keepNext w:val="0"/>
        <w:keepLines w:val="0"/>
        <w:pageBreakBefore w:val="0"/>
        <w:widowControl/>
        <w:suppressLineNumbers w:val="0"/>
        <w:kinsoku/>
        <w:wordWrap/>
        <w:overflowPunct/>
        <w:topLinePunct w:val="0"/>
        <w:bidi w:val="0"/>
        <w:snapToGrid/>
        <w:spacing w:line="480" w:lineRule="exact"/>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val="en-US" w:eastAsia="zh-CN"/>
        </w:rPr>
        <w:t>你单位《关于对〈吉林市吉龙清洁能源有限公司天然气应急储备站工程建设项目环境影响报告表</w:t>
      </w:r>
      <w:bookmarkStart w:id="0" w:name="_GoBack"/>
      <w:bookmarkEnd w:id="0"/>
      <w:r>
        <w:rPr>
          <w:rFonts w:hint="eastAsia" w:ascii="仿宋_GB2312" w:hAnsi="仿宋_GB2312" w:eastAsia="仿宋_GB2312" w:cs="仿宋_GB2312"/>
          <w:sz w:val="32"/>
          <w:szCs w:val="32"/>
          <w:lang w:val="en-US" w:eastAsia="zh-CN"/>
        </w:rPr>
        <w:t xml:space="preserve">〉审查的申请》和委托吉林市龙锴环境科技有限公司编制的《吉林市吉龙清洁能源有限公司天然气应急储备站工程建设项目环境影响报告表》（报批版）收悉。经研究，现批复如下：　 </w:t>
      </w:r>
    </w:p>
    <w:p w14:paraId="1CC1393E">
      <w:pPr>
        <w:keepNext w:val="0"/>
        <w:keepLines w:val="0"/>
        <w:pageBreakBefore w:val="0"/>
        <w:widowControl/>
        <w:numPr>
          <w:ilvl w:val="0"/>
          <w:numId w:val="3"/>
        </w:numPr>
        <w:suppressLineNumbers w:val="0"/>
        <w:kinsoku/>
        <w:wordWrap/>
        <w:overflowPunct/>
        <w:topLinePunct w:val="0"/>
        <w:bidi w:val="0"/>
        <w:snapToGrid/>
        <w:spacing w:line="48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吉林市吉龙清洁能源有限公司建设地点位于吉林省吉林市龙潭区淮安路吉林市吉龙清洁能源有限公司母站东侧。本站建成后，可储存天然气1740万Nm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，天然气液化处理能力为60万Nm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/d及配套二次BOG提氦装置，本项目原料气中不含H</w:t>
      </w:r>
      <w:r>
        <w:rPr>
          <w:rFonts w:hint="eastAsia" w:ascii="仿宋_GB2312" w:hAnsi="仿宋_GB2312" w:eastAsia="仿宋_GB2312" w:cs="仿宋_GB2312"/>
          <w:color w:val="auto"/>
          <w:kern w:val="2"/>
          <w:sz w:val="32"/>
          <w:szCs w:val="32"/>
          <w:vertAlign w:val="subscript"/>
          <w:lang w:val="en-US" w:eastAsia="zh-CN" w:bidi="ar-SA"/>
        </w:rPr>
        <w:t>2</w:t>
      </w:r>
      <w:r>
        <w:rPr>
          <w:rFonts w:hint="eastAsia" w:ascii="仿宋_GB2312" w:hAnsi="仿宋_GB2312" w:eastAsia="仿宋_GB2312" w:cs="仿宋_GB2312"/>
          <w:color w:val="auto"/>
          <w:kern w:val="2"/>
          <w:sz w:val="32"/>
          <w:szCs w:val="32"/>
          <w:lang w:val="en-US" w:eastAsia="zh-CN" w:bidi="ar-SA"/>
        </w:rPr>
        <w:t>S。</w:t>
      </w:r>
    </w:p>
    <w:p w14:paraId="4399D072">
      <w:pPr>
        <w:keepNext w:val="0"/>
        <w:keepLines w:val="0"/>
        <w:pageBreakBefore w:val="0"/>
        <w:widowControl/>
        <w:numPr>
          <w:ilvl w:val="0"/>
          <w:numId w:val="0"/>
        </w:numPr>
        <w:suppressLineNumbers w:val="0"/>
        <w:kinsoku/>
        <w:wordWrap/>
        <w:overflowPunct/>
        <w:topLinePunct w:val="0"/>
        <w:bidi w:val="0"/>
        <w:snapToGrid/>
        <w:spacing w:line="4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主体工程：液化装置区，新建1套60×10</w:t>
      </w:r>
      <w:r>
        <w:rPr>
          <w:rFonts w:hint="eastAsia" w:ascii="仿宋_GB2312" w:hAnsi="仿宋_GB2312" w:eastAsia="仿宋_GB2312" w:cs="仿宋_GB2312"/>
          <w:color w:val="auto"/>
          <w:kern w:val="2"/>
          <w:sz w:val="32"/>
          <w:szCs w:val="32"/>
          <w:vertAlign w:val="superscript"/>
          <w:lang w:val="en-US" w:eastAsia="zh-CN" w:bidi="ar-SA"/>
        </w:rPr>
        <w:t>4</w:t>
      </w:r>
      <w:r>
        <w:rPr>
          <w:rFonts w:hint="eastAsia" w:ascii="仿宋_GB2312" w:hAnsi="仿宋_GB2312" w:eastAsia="仿宋_GB2312" w:cs="仿宋_GB2312"/>
          <w:color w:val="auto"/>
          <w:kern w:val="2"/>
          <w:sz w:val="32"/>
          <w:szCs w:val="32"/>
          <w:lang w:val="en-US" w:eastAsia="zh-CN" w:bidi="ar-SA"/>
        </w:rPr>
        <w:t>Nm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/d天然气净化液化装置（净化装置处理能力为1×60×10</w:t>
      </w:r>
      <w:r>
        <w:rPr>
          <w:rFonts w:hint="eastAsia" w:ascii="仿宋_GB2312" w:hAnsi="仿宋_GB2312" w:eastAsia="仿宋_GB2312" w:cs="仿宋_GB2312"/>
          <w:color w:val="auto"/>
          <w:kern w:val="2"/>
          <w:sz w:val="32"/>
          <w:szCs w:val="32"/>
          <w:vertAlign w:val="superscript"/>
          <w:lang w:val="en-US" w:eastAsia="zh-CN" w:bidi="ar-SA"/>
        </w:rPr>
        <w:t>4</w:t>
      </w:r>
      <w:r>
        <w:rPr>
          <w:rFonts w:hint="eastAsia" w:ascii="仿宋_GB2312" w:hAnsi="仿宋_GB2312" w:eastAsia="仿宋_GB2312" w:cs="仿宋_GB2312"/>
          <w:color w:val="auto"/>
          <w:kern w:val="2"/>
          <w:sz w:val="32"/>
          <w:szCs w:val="32"/>
          <w:lang w:val="en-US" w:eastAsia="zh-CN" w:bidi="ar-SA"/>
        </w:rPr>
        <w:t>Nm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/d，液化装置处理能力为2×30×10</w:t>
      </w:r>
      <w:r>
        <w:rPr>
          <w:rFonts w:hint="eastAsia" w:ascii="仿宋_GB2312" w:hAnsi="仿宋_GB2312" w:eastAsia="仿宋_GB2312" w:cs="仿宋_GB2312"/>
          <w:color w:val="auto"/>
          <w:kern w:val="2"/>
          <w:sz w:val="32"/>
          <w:szCs w:val="32"/>
          <w:vertAlign w:val="superscript"/>
          <w:lang w:val="en-US" w:eastAsia="zh-CN" w:bidi="ar-SA"/>
        </w:rPr>
        <w:t>4</w:t>
      </w:r>
      <w:r>
        <w:rPr>
          <w:rFonts w:hint="eastAsia" w:ascii="仿宋_GB2312" w:hAnsi="仿宋_GB2312" w:eastAsia="仿宋_GB2312" w:cs="仿宋_GB2312"/>
          <w:color w:val="auto"/>
          <w:kern w:val="2"/>
          <w:sz w:val="32"/>
          <w:szCs w:val="32"/>
          <w:lang w:val="en-US" w:eastAsia="zh-CN" w:bidi="ar-SA"/>
        </w:rPr>
        <w:t>Nm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/d）及1套提氦系统；储运工程：新建1座LNG立式全容储罐（29000m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），罐内设置160m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/h罐内潜液泵2台，配套BOG回收系统；新建1台重烃储罐（30m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）、新建1台立式乙烯储罐（25m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）、1台立式丙烷储罐（25m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）、1台立式异戊烷储罐（25m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）、1台立式低温液氮储罐（25m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）、1台立式氮气缓冲罐（30m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）、1台胺液储罐（20m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）、导热油储罐（8m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）、1台污水储罐（</w:t>
      </w:r>
      <w:r>
        <w:rPr>
          <w:rFonts w:hint="eastAsia" w:cs="仿宋_GB2312"/>
          <w:color w:val="auto"/>
          <w:kern w:val="2"/>
          <w:sz w:val="32"/>
          <w:szCs w:val="32"/>
          <w:lang w:val="en-US" w:eastAsia="zh-CN" w:bidi="ar-SA"/>
        </w:rPr>
        <w:t>10</w:t>
      </w:r>
      <w:r>
        <w:rPr>
          <w:rFonts w:hint="eastAsia" w:ascii="仿宋_GB2312" w:hAnsi="仿宋_GB2312" w:eastAsia="仿宋_GB2312" w:cs="仿宋_GB2312"/>
          <w:color w:val="auto"/>
          <w:kern w:val="2"/>
          <w:sz w:val="32"/>
          <w:szCs w:val="32"/>
          <w:lang w:val="en-US" w:eastAsia="zh-CN" w:bidi="ar-SA"/>
        </w:rPr>
        <w:t>0m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），储罐采用低温潜液泵装车，配套建设LNG装卸设施区、重烃装卸区。管线工程：管线铺设全长约155m，起点为吉龙母站调压计量装置，终点为本项目装置区，地埋敷设。公用工程：新建1台额定功率为350</w:t>
      </w:r>
      <w:r>
        <w:rPr>
          <w:rFonts w:hint="eastAsia" w:cs="仿宋_GB2312"/>
          <w:color w:val="auto"/>
          <w:kern w:val="2"/>
          <w:sz w:val="32"/>
          <w:szCs w:val="32"/>
          <w:lang w:val="en-US" w:eastAsia="zh-CN" w:bidi="ar-SA"/>
        </w:rPr>
        <w:t>k</w:t>
      </w:r>
      <w:r>
        <w:rPr>
          <w:rFonts w:hint="eastAsia" w:ascii="仿宋_GB2312" w:hAnsi="仿宋_GB2312" w:eastAsia="仿宋_GB2312" w:cs="仿宋_GB2312"/>
          <w:color w:val="auto"/>
          <w:kern w:val="2"/>
          <w:sz w:val="32"/>
          <w:szCs w:val="32"/>
          <w:lang w:val="en-US" w:eastAsia="zh-CN" w:bidi="ar-SA"/>
        </w:rPr>
        <w:t>W常压燃气热水锅炉（供暖）及1台额定热负荷为3000</w:t>
      </w:r>
      <w:r>
        <w:rPr>
          <w:rFonts w:hint="eastAsia" w:cs="仿宋_GB2312"/>
          <w:color w:val="auto"/>
          <w:kern w:val="2"/>
          <w:sz w:val="32"/>
          <w:szCs w:val="32"/>
          <w:lang w:val="en-US" w:eastAsia="zh-CN" w:bidi="ar-SA"/>
        </w:rPr>
        <w:t>k</w:t>
      </w:r>
      <w:r>
        <w:rPr>
          <w:rFonts w:hint="eastAsia" w:ascii="仿宋_GB2312" w:hAnsi="仿宋_GB2312" w:eastAsia="仿宋_GB2312" w:cs="仿宋_GB2312"/>
          <w:color w:val="auto"/>
          <w:kern w:val="2"/>
          <w:sz w:val="32"/>
          <w:szCs w:val="32"/>
          <w:lang w:val="en-US" w:eastAsia="zh-CN" w:bidi="ar-SA"/>
        </w:rPr>
        <w:t>W的燃气导热油炉（生产供热）；生产制冷采取循环混合冷剂制冷工艺；新建空压制氮站、脱盐水系统、循环水系统等。环保工程：新建占地面积为135m</w:t>
      </w:r>
      <w:r>
        <w:rPr>
          <w:rFonts w:hint="eastAsia" w:ascii="仿宋_GB2312" w:hAnsi="仿宋_GB2312" w:eastAsia="仿宋_GB2312" w:cs="仿宋_GB2312"/>
          <w:color w:val="auto"/>
          <w:kern w:val="2"/>
          <w:sz w:val="32"/>
          <w:szCs w:val="32"/>
          <w:vertAlign w:val="superscript"/>
          <w:lang w:val="en-US" w:eastAsia="zh-CN" w:bidi="ar-SA"/>
        </w:rPr>
        <w:t>2</w:t>
      </w:r>
      <w:r>
        <w:rPr>
          <w:rFonts w:hint="eastAsia" w:ascii="仿宋_GB2312" w:hAnsi="仿宋_GB2312" w:eastAsia="仿宋_GB2312" w:cs="仿宋_GB2312"/>
          <w:color w:val="auto"/>
          <w:kern w:val="2"/>
          <w:sz w:val="32"/>
          <w:szCs w:val="32"/>
          <w:lang w:val="en-US" w:eastAsia="zh-CN" w:bidi="ar-SA"/>
        </w:rPr>
        <w:t>的危废贮存库，四周设0.25m高围堰；设置723.6m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雨水收集池和3295m</w:t>
      </w:r>
      <w:r>
        <w:rPr>
          <w:rFonts w:hint="eastAsia" w:ascii="仿宋_GB2312" w:hAnsi="仿宋_GB2312" w:eastAsia="仿宋_GB2312" w:cs="仿宋_GB2312"/>
          <w:color w:val="auto"/>
          <w:kern w:val="2"/>
          <w:sz w:val="32"/>
          <w:szCs w:val="32"/>
          <w:vertAlign w:val="superscript"/>
          <w:lang w:val="en-US" w:eastAsia="zh-CN" w:bidi="ar-SA"/>
        </w:rPr>
        <w:t>3</w:t>
      </w:r>
      <w:r>
        <w:rPr>
          <w:rFonts w:hint="eastAsia" w:ascii="仿宋_GB2312" w:hAnsi="仿宋_GB2312" w:eastAsia="仿宋_GB2312" w:cs="仿宋_GB2312"/>
          <w:color w:val="auto"/>
          <w:kern w:val="2"/>
          <w:sz w:val="32"/>
          <w:szCs w:val="32"/>
          <w:lang w:val="en-US" w:eastAsia="zh-CN" w:bidi="ar-SA"/>
        </w:rPr>
        <w:t>事故池；新建总高度为20m的地面火炬。本项目总占地面积为55482.35m</w:t>
      </w:r>
      <w:r>
        <w:rPr>
          <w:rFonts w:hint="eastAsia" w:ascii="仿宋_GB2312" w:hAnsi="仿宋_GB2312" w:eastAsia="仿宋_GB2312" w:cs="仿宋_GB2312"/>
          <w:color w:val="auto"/>
          <w:kern w:val="2"/>
          <w:sz w:val="32"/>
          <w:szCs w:val="32"/>
          <w:vertAlign w:val="superscript"/>
          <w:lang w:val="en-US" w:eastAsia="zh-CN" w:bidi="ar-SA"/>
        </w:rPr>
        <w:t>2</w:t>
      </w:r>
      <w:r>
        <w:rPr>
          <w:rFonts w:hint="eastAsia" w:ascii="仿宋_GB2312" w:hAnsi="仿宋_GB2312" w:eastAsia="仿宋_GB2312" w:cs="仿宋_GB2312"/>
          <w:color w:val="auto"/>
          <w:kern w:val="2"/>
          <w:sz w:val="32"/>
          <w:szCs w:val="32"/>
          <w:lang w:val="en-US" w:eastAsia="zh-CN" w:bidi="ar-SA"/>
        </w:rPr>
        <w:t>，劳动定员30人，年工作333天，三班制，设备年运行8000小时，燃气热水锅炉年运行4128小时，导热油炉年运行8000小时。项目总投资27808.13万元，其中环保投资100万</w:t>
      </w:r>
      <w:r>
        <w:rPr>
          <w:rFonts w:hint="eastAsia" w:ascii="仿宋_GB2312" w:hAnsi="仿宋_GB2312" w:eastAsia="仿宋_GB2312" w:cs="仿宋_GB2312"/>
          <w:color w:val="auto"/>
          <w:sz w:val="32"/>
          <w:szCs w:val="32"/>
          <w:u w:val="none" w:color="auto"/>
          <w:lang w:val="en-US" w:eastAsia="zh-CN"/>
        </w:rPr>
        <w:t>元。根</w:t>
      </w:r>
      <w:r>
        <w:rPr>
          <w:rFonts w:hint="eastAsia" w:ascii="仿宋_GB2312" w:hAnsi="仿宋_GB2312" w:eastAsia="仿宋_GB2312" w:cs="仿宋_GB2312"/>
          <w:color w:val="auto"/>
          <w:sz w:val="32"/>
          <w:szCs w:val="32"/>
          <w:u w:val="none" w:color="auto"/>
          <w:lang w:eastAsia="zh-CN"/>
        </w:rPr>
        <w:t>据环境影响报告表评价结论和技</w:t>
      </w:r>
      <w:r>
        <w:rPr>
          <w:rFonts w:hint="eastAsia" w:ascii="仿宋_GB2312" w:hAnsi="仿宋_GB2312" w:eastAsia="仿宋_GB2312" w:cs="仿宋_GB2312"/>
          <w:color w:val="auto"/>
          <w:sz w:val="32"/>
          <w:szCs w:val="32"/>
          <w:lang w:eastAsia="zh-CN"/>
        </w:rPr>
        <w:t>术评估</w:t>
      </w:r>
      <w:r>
        <w:rPr>
          <w:rFonts w:hint="eastAsia" w:ascii="仿宋_GB2312" w:hAnsi="仿宋_GB2312" w:eastAsia="仿宋_GB2312" w:cs="仿宋_GB2312"/>
          <w:color w:val="auto"/>
          <w:sz w:val="32"/>
          <w:szCs w:val="32"/>
        </w:rPr>
        <w:t>意见，严格落实环境影响报告表提出的各项环境保护和环境风险防控措施。我局原则同意建设单位按照环评报告及下述要求进行项目建设。该项目环境影响报告表（报批版）可以作为环保设计及其建成后环境管理依据。</w:t>
      </w:r>
    </w:p>
    <w:p w14:paraId="5DBA5BA6">
      <w:pPr>
        <w:keepNext w:val="0"/>
        <w:keepLines w:val="0"/>
        <w:pageBreakBefore w:val="0"/>
        <w:widowControl/>
        <w:suppressLineNumbers w:val="0"/>
        <w:kinsoku/>
        <w:wordWrap/>
        <w:overflowPunct/>
        <w:topLinePunct w:val="0"/>
        <w:bidi w:val="0"/>
        <w:snapToGrid/>
        <w:spacing w:line="48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二、项目建设应重点做好以下工作：</w:t>
      </w:r>
    </w:p>
    <w:p w14:paraId="0BDB4F9E">
      <w:pPr>
        <w:pStyle w:val="28"/>
        <w:keepNext w:val="0"/>
        <w:keepLines w:val="0"/>
        <w:pageBreakBefore w:val="0"/>
        <w:tabs>
          <w:tab w:val="left" w:pos="1260"/>
        </w:tabs>
        <w:kinsoku/>
        <w:wordWrap/>
        <w:overflowPunct/>
        <w:topLinePunct w:val="0"/>
        <w:bidi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kern w:val="2"/>
          <w:sz w:val="32"/>
          <w:szCs w:val="32"/>
          <w:lang w:val="en-US" w:eastAsia="zh-CN" w:bidi="ar-SA"/>
        </w:rPr>
        <w:t>加强建设期环境管理。生活污水经吉化污水处理厂处理达标后排入松花江。设备冲洗废水和车辆冲洗水经临时沉淀池沉淀后用于地面洒水抑尘。管线采用氮气吹扫试压， 不产生管线清洗废水。施工边界设临时围挡，施工场地道路硬化，对易产尘的建筑材料采取防尘覆盖措施。焊渣外售废品收购站；废漆桶委托有资质单位处理；项目挖方用于厂区平整回填，剩余挖方外运用于市政填方；生活垃圾集中收集由环卫部门清运。建筑垃圾及时清运至建筑垃圾指定堆放点。使用低噪声施工机械，禁止夜间施工，控制施工期噪声符合《建筑施工场界环境噪声排放标准》（GB12523-2011）要求，将项目建设对外界环境影响降至最低。落实施工期的各项污染防治措施，防止发生环境污染和扰民事件。</w:t>
      </w:r>
    </w:p>
    <w:p w14:paraId="485BE9A2">
      <w:pPr>
        <w:pStyle w:val="28"/>
        <w:keepNext w:val="0"/>
        <w:keepLines w:val="0"/>
        <w:pageBreakBefore w:val="0"/>
        <w:tabs>
          <w:tab w:val="left" w:pos="1260"/>
        </w:tabs>
        <w:kinsoku/>
        <w:wordWrap/>
        <w:overflowPunct/>
        <w:topLinePunct w:val="0"/>
        <w:bidi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2.</w:t>
      </w:r>
      <w:r>
        <w:rPr>
          <w:rFonts w:hint="eastAsia" w:ascii="仿宋_GB2312" w:hAnsi="仿宋_GB2312" w:eastAsia="仿宋_GB2312" w:cs="仿宋_GB2312"/>
          <w:color w:val="auto"/>
          <w:kern w:val="2"/>
          <w:sz w:val="32"/>
          <w:szCs w:val="32"/>
          <w:lang w:val="en-US" w:eastAsia="zh-CN" w:bidi="ar-SA"/>
        </w:rPr>
        <w:t>本项目锅炉排污水、软化水制备系统排污水、脱盐水系统排污水、初期雨水、脱水工序排水</w:t>
      </w:r>
      <w:r>
        <w:rPr>
          <w:rFonts w:hint="eastAsia" w:ascii="仿宋_GB2312" w:hAnsi="仿宋_GB2312" w:cs="仿宋_GB2312"/>
          <w:color w:val="auto"/>
          <w:kern w:val="2"/>
          <w:sz w:val="32"/>
          <w:szCs w:val="32"/>
          <w:lang w:val="en-US" w:eastAsia="zh-CN" w:bidi="ar-SA"/>
        </w:rPr>
        <w:t>暂时拉运</w:t>
      </w:r>
      <w:r>
        <w:rPr>
          <w:rFonts w:hint="eastAsia" w:ascii="仿宋_GB2312" w:hAnsi="仿宋_GB2312" w:eastAsia="仿宋_GB2312" w:cs="仿宋_GB2312"/>
          <w:color w:val="auto"/>
          <w:kern w:val="2"/>
          <w:sz w:val="32"/>
          <w:szCs w:val="32"/>
          <w:lang w:val="en-US" w:eastAsia="zh-CN" w:bidi="ar-SA"/>
        </w:rPr>
        <w:t>至吉林万邦达环保技术有限公司处理达标后排入松花江，执行</w:t>
      </w:r>
      <w:r>
        <w:rPr>
          <w:rFonts w:hint="eastAsia" w:ascii="仿宋_GB2312" w:hAnsi="仿宋_GB2312" w:cs="仿宋_GB2312"/>
          <w:color w:val="auto"/>
          <w:kern w:val="2"/>
          <w:sz w:val="32"/>
          <w:szCs w:val="32"/>
          <w:lang w:val="en-US" w:eastAsia="zh-CN" w:bidi="ar-SA"/>
        </w:rPr>
        <w:t>与</w:t>
      </w:r>
      <w:r>
        <w:rPr>
          <w:rFonts w:hint="eastAsia" w:ascii="仿宋_GB2312" w:hAnsi="仿宋_GB2312" w:eastAsia="仿宋_GB2312" w:cs="仿宋_GB2312"/>
          <w:color w:val="auto"/>
          <w:kern w:val="2"/>
          <w:sz w:val="32"/>
          <w:szCs w:val="32"/>
          <w:lang w:val="en-US" w:eastAsia="zh-CN" w:bidi="ar-SA"/>
        </w:rPr>
        <w:t>吉林万邦达环保技术有限公司</w:t>
      </w:r>
      <w:r>
        <w:rPr>
          <w:rFonts w:hint="eastAsia" w:ascii="仿宋_GB2312" w:hAnsi="仿宋_GB2312" w:cs="仿宋_GB2312"/>
          <w:color w:val="auto"/>
          <w:kern w:val="2"/>
          <w:sz w:val="32"/>
          <w:szCs w:val="32"/>
          <w:lang w:val="en-US" w:eastAsia="zh-CN" w:bidi="ar-SA"/>
        </w:rPr>
        <w:t>签订的协议标准</w:t>
      </w:r>
      <w:r>
        <w:rPr>
          <w:rFonts w:hint="eastAsia" w:ascii="仿宋_GB2312" w:hAnsi="仿宋_GB2312" w:eastAsia="仿宋_GB2312" w:cs="仿宋_GB2312"/>
          <w:color w:val="auto"/>
          <w:kern w:val="2"/>
          <w:sz w:val="32"/>
          <w:szCs w:val="32"/>
          <w:lang w:val="en-US" w:eastAsia="zh-CN" w:bidi="ar-SA"/>
        </w:rPr>
        <w:t>，待吉林万邦达环保技术有限公司污水管网建成铺设到本项目位置后，</w:t>
      </w:r>
      <w:r>
        <w:rPr>
          <w:rFonts w:hint="eastAsia" w:ascii="仿宋_GB2312" w:hAnsi="仿宋_GB2312" w:cs="仿宋_GB2312"/>
          <w:color w:val="auto"/>
          <w:kern w:val="2"/>
          <w:sz w:val="32"/>
          <w:szCs w:val="32"/>
          <w:lang w:val="en-US" w:eastAsia="zh-CN" w:bidi="ar-SA"/>
        </w:rPr>
        <w:t>采取纳管排放</w:t>
      </w:r>
      <w:r>
        <w:rPr>
          <w:rFonts w:hint="eastAsia" w:ascii="仿宋_GB2312" w:hAnsi="仿宋_GB2312" w:eastAsia="仿宋_GB2312" w:cs="仿宋_GB2312"/>
          <w:color w:val="auto"/>
          <w:kern w:val="2"/>
          <w:sz w:val="32"/>
          <w:szCs w:val="32"/>
          <w:lang w:val="en-US" w:eastAsia="zh-CN" w:bidi="ar-SA"/>
        </w:rPr>
        <w:t>；食堂废水经隔油池处理后，同生活污水排入吉林石化污水处理厂处理达标后排入松花江，执行吉林石化污水处理厂</w:t>
      </w:r>
      <w:r>
        <w:rPr>
          <w:rFonts w:hint="eastAsia" w:ascii="仿宋_GB2312" w:hAnsi="仿宋_GB2312" w:cs="仿宋_GB2312"/>
          <w:color w:val="auto"/>
          <w:kern w:val="2"/>
          <w:sz w:val="32"/>
          <w:szCs w:val="32"/>
          <w:lang w:val="en-US" w:eastAsia="zh-CN" w:bidi="ar-SA"/>
        </w:rPr>
        <w:t>收</w:t>
      </w:r>
      <w:r>
        <w:rPr>
          <w:rFonts w:hint="eastAsia" w:ascii="仿宋_GB2312" w:hAnsi="仿宋_GB2312" w:eastAsia="仿宋_GB2312" w:cs="仿宋_GB2312"/>
          <w:color w:val="auto"/>
          <w:kern w:val="2"/>
          <w:sz w:val="32"/>
          <w:szCs w:val="32"/>
          <w:lang w:val="en-US" w:eastAsia="zh-CN" w:bidi="ar-SA"/>
        </w:rPr>
        <w:t>水标准。</w:t>
      </w:r>
    </w:p>
    <w:p w14:paraId="15314339">
      <w:pPr>
        <w:pStyle w:val="18"/>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cs="仿宋_GB2312"/>
          <w:color w:val="auto"/>
          <w:kern w:val="2"/>
          <w:sz w:val="32"/>
          <w:szCs w:val="32"/>
          <w:lang w:val="en-US" w:eastAsia="zh-CN" w:bidi="ar-SA"/>
        </w:rPr>
        <w:t>3.</w:t>
      </w:r>
      <w:r>
        <w:rPr>
          <w:rFonts w:hint="eastAsia" w:ascii="仿宋_GB2312" w:hAnsi="仿宋_GB2312" w:eastAsia="仿宋_GB2312" w:cs="仿宋_GB2312"/>
          <w:color w:val="auto"/>
          <w:kern w:val="2"/>
          <w:sz w:val="32"/>
          <w:szCs w:val="32"/>
          <w:lang w:val="en-US" w:eastAsia="zh-CN" w:bidi="ar-SA"/>
        </w:rPr>
        <w:t>本项目运营期产生的废气主要为热水锅炉和导热油炉烟气、生产装置区产生的非甲烷总烃、脱碳废气、食堂油烟、危废贮存库点废气。本项目采用低泄漏烃泵、压缩机泵配套安全回流装置，加强设备的密封性。制冷剂罐区所有物料均在密闭制冷系统内循环使用。燃气热水锅炉和导热油炉均采用低氮燃烧技术，烟气通过10.5m高排气筒排放；脱碳过程产生的酸性气体经酸气空冷器及酸气分离器处理后通过分离器顶部30米排空口排空；LNG储罐闪蒸气及LNG装车闪蒸气、重烃储罐及装车废气</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冷剂储罐及卸车废气均进入BOG回收单元，回收的BOG作为锅炉和导热油炉燃料；提氦尾气经过提氦尾气压缩机增压和空冷后送入CNG母站进行回收处理，不外排；危废贮存库废气经活性炭吸附处理后通过15m高排气筒排放；食堂油烟通过油烟净化器处置后从楼顶排气口排放。加强管理，确保</w:t>
      </w:r>
      <w:r>
        <w:rPr>
          <w:rFonts w:hint="eastAsia" w:cs="仿宋_GB2312"/>
          <w:color w:val="auto"/>
          <w:kern w:val="2"/>
          <w:sz w:val="32"/>
          <w:szCs w:val="32"/>
          <w:lang w:val="en-US" w:eastAsia="zh-CN" w:bidi="ar-SA"/>
        </w:rPr>
        <w:t>危废贮存产生的非甲烷总烃有组织排放满足</w:t>
      </w:r>
      <w:r>
        <w:rPr>
          <w:rFonts w:hint="eastAsia" w:ascii="仿宋_GB2312" w:hAnsi="仿宋_GB2312" w:eastAsia="仿宋_GB2312" w:cs="仿宋_GB2312"/>
          <w:color w:val="auto"/>
          <w:kern w:val="2"/>
          <w:sz w:val="32"/>
          <w:szCs w:val="32"/>
          <w:lang w:val="en-US" w:eastAsia="zh-CN" w:bidi="ar-SA"/>
        </w:rPr>
        <w:t>《大气污染物综合排放标准》（GB16297-1996）表2中的相关排放标准</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厂界非甲烷总烃执行《大气污染物综合排放标准》（GB16297-1996）表2中的相关排放标准，厂区内非甲烷总烃无组织排放执行《挥发性有机物无组织排放控制标准》（GB37822-2019）中表 A.1厂区内VOCS无组织排放限值要求；烟气中的</w:t>
      </w:r>
      <w:r>
        <w:rPr>
          <w:rFonts w:hint="eastAsia" w:cs="仿宋_GB2312"/>
          <w:color w:val="auto"/>
          <w:kern w:val="2"/>
          <w:sz w:val="32"/>
          <w:szCs w:val="32"/>
          <w:lang w:val="en-US" w:eastAsia="zh-CN" w:bidi="ar-SA"/>
        </w:rPr>
        <w:t>颗粒物</w:t>
      </w:r>
      <w:r>
        <w:rPr>
          <w:rFonts w:hint="eastAsia" w:ascii="仿宋_GB2312" w:hAnsi="仿宋_GB2312" w:eastAsia="仿宋_GB2312" w:cs="仿宋_GB2312"/>
          <w:color w:val="auto"/>
          <w:kern w:val="2"/>
          <w:sz w:val="32"/>
          <w:szCs w:val="32"/>
          <w:lang w:val="en-US" w:eastAsia="zh-CN" w:bidi="ar-SA"/>
        </w:rPr>
        <w:t>、SO</w:t>
      </w:r>
      <w:r>
        <w:rPr>
          <w:rFonts w:hint="eastAsia" w:ascii="仿宋_GB2312" w:hAnsi="仿宋_GB2312" w:eastAsia="仿宋_GB2312" w:cs="仿宋_GB2312"/>
          <w:color w:val="auto"/>
          <w:kern w:val="2"/>
          <w:sz w:val="32"/>
          <w:szCs w:val="32"/>
          <w:vertAlign w:val="subscript"/>
          <w:lang w:val="en-US" w:eastAsia="zh-CN" w:bidi="ar-SA"/>
        </w:rPr>
        <w:t>2</w:t>
      </w:r>
      <w:r>
        <w:rPr>
          <w:rFonts w:hint="eastAsia" w:ascii="仿宋_GB2312" w:hAnsi="仿宋_GB2312" w:eastAsia="仿宋_GB2312" w:cs="仿宋_GB2312"/>
          <w:color w:val="auto"/>
          <w:kern w:val="2"/>
          <w:sz w:val="32"/>
          <w:szCs w:val="32"/>
          <w:lang w:val="en-US" w:eastAsia="zh-CN" w:bidi="ar-SA"/>
        </w:rPr>
        <w:t>执行《锅炉大气污染物排放标准》（GB13271-2014）表2新建锅炉大气污染物排放浓度限值</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NO</w:t>
      </w:r>
      <w:r>
        <w:rPr>
          <w:rFonts w:hint="eastAsia" w:ascii="仿宋_GB2312" w:hAnsi="仿宋_GB2312" w:eastAsia="仿宋_GB2312" w:cs="仿宋_GB2312"/>
          <w:color w:val="auto"/>
          <w:kern w:val="2"/>
          <w:sz w:val="32"/>
          <w:szCs w:val="32"/>
          <w:vertAlign w:val="subscript"/>
          <w:lang w:val="en-US" w:eastAsia="zh-CN" w:bidi="ar-SA"/>
        </w:rPr>
        <w:t>X</w:t>
      </w:r>
      <w:r>
        <w:rPr>
          <w:rFonts w:hint="eastAsia" w:cs="仿宋_GB2312"/>
          <w:color w:val="auto"/>
          <w:kern w:val="2"/>
          <w:sz w:val="32"/>
          <w:szCs w:val="32"/>
          <w:vertAlign w:val="baseline"/>
          <w:lang w:val="en-US" w:eastAsia="zh-CN" w:bidi="ar-SA"/>
        </w:rPr>
        <w:t>执行《吉林市生态环境局关于推进吉林市2025年锅炉综合整治工作的通知》（吉市环发〔2025〕6号）相关要求</w:t>
      </w:r>
      <w:r>
        <w:rPr>
          <w:rFonts w:hint="eastAsia" w:ascii="仿宋_GB2312" w:hAnsi="仿宋_GB2312" w:eastAsia="仿宋_GB2312" w:cs="仿宋_GB2312"/>
          <w:color w:val="auto"/>
          <w:kern w:val="2"/>
          <w:sz w:val="32"/>
          <w:szCs w:val="32"/>
          <w:lang w:val="en-US" w:eastAsia="zh-CN" w:bidi="ar-SA"/>
        </w:rPr>
        <w:t>；食堂油烟排放执行《饮食业油烟排放标准》（GB18483-2001）标准。</w:t>
      </w:r>
    </w:p>
    <w:p w14:paraId="3852204B">
      <w:pPr>
        <w:pStyle w:val="17"/>
        <w:keepNext w:val="0"/>
        <w:keepLines w:val="0"/>
        <w:pageBreakBefore w:val="0"/>
        <w:kinsoku/>
        <w:wordWrap/>
        <w:overflowPunct/>
        <w:topLinePunct w:val="0"/>
        <w:bidi w:val="0"/>
        <w:snapToGrid/>
        <w:spacing w:line="48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cs="仿宋_GB2312"/>
          <w:color w:val="auto"/>
          <w:kern w:val="2"/>
          <w:sz w:val="32"/>
          <w:szCs w:val="32"/>
          <w:lang w:val="en-US" w:eastAsia="zh-CN" w:bidi="ar-SA"/>
        </w:rPr>
        <w:t>4.</w:t>
      </w:r>
      <w:r>
        <w:rPr>
          <w:rFonts w:hint="eastAsia" w:ascii="仿宋_GB2312" w:hAnsi="仿宋_GB2312" w:eastAsia="仿宋_GB2312" w:cs="仿宋_GB2312"/>
          <w:color w:val="auto"/>
          <w:kern w:val="2"/>
          <w:sz w:val="32"/>
          <w:szCs w:val="32"/>
          <w:lang w:val="en-US" w:eastAsia="zh-CN" w:bidi="ar-SA"/>
        </w:rPr>
        <w:t>优先选用低噪音设备，合理布局，采取有效的隔声减振措施，确保厂界噪声符合《工业企业厂界环境噪声排放标准》（GB12348-2008）中3类声环境功能区限值</w:t>
      </w:r>
      <w:r>
        <w:rPr>
          <w:rFonts w:hint="eastAsia" w:cs="仿宋_GB2312"/>
          <w:color w:val="auto"/>
          <w:kern w:val="2"/>
          <w:sz w:val="32"/>
          <w:szCs w:val="32"/>
          <w:lang w:val="en-US" w:eastAsia="zh-CN" w:bidi="ar-SA"/>
        </w:rPr>
        <w:t>。</w:t>
      </w:r>
    </w:p>
    <w:p w14:paraId="4CC72CB6">
      <w:pPr>
        <w:pStyle w:val="33"/>
        <w:keepNext w:val="0"/>
        <w:keepLines w:val="0"/>
        <w:pageBreakBefore w:val="0"/>
        <w:widowControl w:val="0"/>
        <w:numPr>
          <w:ilvl w:val="0"/>
          <w:numId w:val="0"/>
        </w:numPr>
        <w:tabs>
          <w:tab w:val="left" w:pos="1862"/>
        </w:tabs>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cs="仿宋_GB2312"/>
          <w:color w:val="auto"/>
          <w:kern w:val="2"/>
          <w:sz w:val="32"/>
          <w:szCs w:val="32"/>
          <w:lang w:val="en-US" w:eastAsia="zh-CN" w:bidi="ar-SA"/>
        </w:rPr>
        <w:t>5.</w:t>
      </w:r>
      <w:r>
        <w:rPr>
          <w:rFonts w:hint="eastAsia" w:ascii="仿宋_GB2312" w:hAnsi="仿宋_GB2312" w:eastAsia="仿宋_GB2312" w:cs="仿宋_GB2312"/>
          <w:color w:val="auto"/>
          <w:kern w:val="2"/>
          <w:sz w:val="32"/>
          <w:szCs w:val="32"/>
          <w:lang w:val="en-US" w:eastAsia="zh-CN" w:bidi="ar-SA"/>
        </w:rPr>
        <w:t>严格按照有关规定，对固体废物实施分类处理、处置，做到“减量化、资源化、无害化”，防止产生二次污染。过滤杂质、废活性炭、废分子筛、废导热油、化验室废液以密封桶装暂存于危险废物贮存库，定期委托具有危险废物处置资质的单位处理；脱盐水装置废反渗透膜、软化装置废树脂、空压制氮站产生的废滤料、废干燥剂和PSA装置废吸附剂由生产厂家回收定期更换，不在厂内储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kern w:val="2"/>
          <w:sz w:val="32"/>
          <w:szCs w:val="32"/>
          <w:lang w:val="en-US" w:eastAsia="zh-CN" w:bidi="ar-SA"/>
        </w:rPr>
        <w:t>生活垃圾统一收集，由环卫部门定期清运。餐厨垃圾、隔油池废油集中收集后由有餐厨垃圾处置资格的单位处理；MDEA溶液循环使用，不进行更换。本项目采用无油润滑，不产生废机油。加强管理，确保危险废物处置符合《危险废物贮存污染控制标准》（GB18597-2023）；固体废物处置符合《一般工业固体废物贮存和填埋污染控制标准》（GB18599-2020）。　</w:t>
      </w:r>
    </w:p>
    <w:p w14:paraId="1125E302">
      <w:pPr>
        <w:pStyle w:val="28"/>
        <w:keepNext w:val="0"/>
        <w:keepLines w:val="0"/>
        <w:pageBreakBefore w:val="0"/>
        <w:tabs>
          <w:tab w:val="left" w:pos="1260"/>
        </w:tabs>
        <w:kinsoku/>
        <w:wordWrap/>
        <w:overflowPunct/>
        <w:topLinePunct w:val="0"/>
        <w:bidi w:val="0"/>
        <w:snapToGrid/>
        <w:spacing w:line="48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6.</w:t>
      </w:r>
      <w:r>
        <w:rPr>
          <w:rFonts w:hint="eastAsia" w:ascii="仿宋_GB2312" w:hAnsi="仿宋_GB2312" w:eastAsia="仿宋_GB2312" w:cs="仿宋_GB2312"/>
          <w:color w:val="auto"/>
          <w:kern w:val="2"/>
          <w:sz w:val="32"/>
          <w:szCs w:val="32"/>
          <w:lang w:val="en-US" w:eastAsia="zh-CN" w:bidi="ar-SA"/>
        </w:rPr>
        <w:t>落实地下水和土壤污染防治措施。厂区采取分区防渗。本项目危废贮存库、事故池、初期雨水收集池、罐区、化粪池采取重点防渗措施，对生产装置区、装卸区、导热油炉所在区域采取一般防渗措施，配电室等区域采取简单防渗。建立监管制度，对各防渗区域进行定期检查及修复，以免防渗层意外破损导致污染物下渗污染地下水及土壤环境。</w:t>
      </w:r>
    </w:p>
    <w:p w14:paraId="48248CF0">
      <w:pPr>
        <w:pStyle w:val="28"/>
        <w:keepNext w:val="0"/>
        <w:keepLines w:val="0"/>
        <w:pageBreakBefore w:val="0"/>
        <w:tabs>
          <w:tab w:val="left" w:pos="1260"/>
        </w:tabs>
        <w:kinsoku/>
        <w:wordWrap/>
        <w:overflowPunct/>
        <w:topLinePunct w:val="0"/>
        <w:bidi w:val="0"/>
        <w:snapToGrid/>
        <w:spacing w:line="480" w:lineRule="exact"/>
        <w:ind w:firstLine="640" w:firstLineChars="200"/>
        <w:textAlignment w:val="auto"/>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7.</w:t>
      </w:r>
      <w:r>
        <w:rPr>
          <w:rFonts w:hint="eastAsia" w:ascii="仿宋_GB2312" w:hAnsi="仿宋_GB2312" w:eastAsia="仿宋_GB2312" w:cs="仿宋_GB2312"/>
          <w:color w:val="auto"/>
          <w:kern w:val="2"/>
          <w:sz w:val="32"/>
          <w:szCs w:val="32"/>
          <w:lang w:val="en-US" w:eastAsia="zh-CN" w:bidi="ar-SA"/>
        </w:rPr>
        <w:t>严格落实环评报告中的风险防范和应急措施。及时编制污染事故防范和处理应急预案，提高事故风险防范和污染控制能力。</w:t>
      </w:r>
      <w:r>
        <w:rPr>
          <w:rFonts w:hint="eastAsia" w:ascii="仿宋_GB2312" w:hAnsi="仿宋_GB2312" w:eastAsia="仿宋_GB2312" w:cs="仿宋_GB2312"/>
          <w:bCs/>
          <w:color w:val="auto"/>
          <w:kern w:val="2"/>
          <w:sz w:val="32"/>
          <w:szCs w:val="32"/>
          <w:lang w:val="en-US" w:eastAsia="zh-CN" w:bidi="ar-SA"/>
        </w:rPr>
        <w:t>加强设备的密封性；</w:t>
      </w:r>
      <w:r>
        <w:rPr>
          <w:rFonts w:hint="eastAsia" w:ascii="仿宋_GB2312" w:hAnsi="仿宋_GB2312" w:eastAsia="仿宋_GB2312" w:cs="仿宋_GB2312"/>
          <w:color w:val="auto"/>
          <w:kern w:val="2"/>
          <w:sz w:val="32"/>
          <w:szCs w:val="32"/>
          <w:lang w:val="en-US" w:eastAsia="zh-CN" w:bidi="ar-SA"/>
        </w:rPr>
        <w:t>冷剂储罐和液氮罐区设置0.6m高围堰；装置区、装车区、储罐区设置可燃气体检测器、低温检测器，设置闪蒸气收集措施；项目开停车及</w:t>
      </w:r>
      <w:r>
        <w:rPr>
          <w:rFonts w:hint="eastAsia" w:ascii="仿宋_GB2312" w:hAnsi="仿宋_GB2312" w:eastAsia="仿宋_GB2312" w:cs="仿宋_GB2312"/>
          <w:bCs/>
          <w:color w:val="auto"/>
          <w:kern w:val="2"/>
          <w:sz w:val="32"/>
          <w:szCs w:val="32"/>
          <w:lang w:val="en-US" w:eastAsia="zh-CN" w:bidi="ar-SA"/>
        </w:rPr>
        <w:t>设备大修、设备保养时的泄漏气体、设备超压泄放气体导入火炬燃烧。</w:t>
      </w:r>
    </w:p>
    <w:p w14:paraId="46E82432">
      <w:pPr>
        <w:pStyle w:val="22"/>
        <w:keepNext w:val="0"/>
        <w:keepLines w:val="0"/>
        <w:pageBreakBefore w:val="0"/>
        <w:kinsoku/>
        <w:wordWrap/>
        <w:overflowPunct/>
        <w:topLinePunct w:val="0"/>
        <w:bidi w:val="0"/>
        <w:snapToGrid/>
        <w:spacing w:line="48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8.</w:t>
      </w:r>
      <w:r>
        <w:rPr>
          <w:rFonts w:hint="eastAsia" w:ascii="仿宋_GB2312" w:hAnsi="仿宋_GB2312" w:eastAsia="仿宋_GB2312" w:cs="仿宋_GB2312"/>
          <w:bCs/>
          <w:color w:val="auto"/>
          <w:kern w:val="2"/>
          <w:sz w:val="32"/>
          <w:szCs w:val="32"/>
          <w:lang w:val="en-US" w:eastAsia="zh-CN" w:bidi="ar-SA"/>
        </w:rPr>
        <w:t>企业应按照相关要求落实监测计划。</w:t>
      </w:r>
    </w:p>
    <w:p w14:paraId="51F518F1">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建设项目的环境影响评价文件经批准后，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重新审核。</w:t>
      </w:r>
    </w:p>
    <w:p w14:paraId="47F6C353">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有机衔接环境影响评价与排污许可证申领。按照《排污许可管理办法》的要求，项目在启动生产设施或者在实际排污之前，申请并领取排污许可证，要将经批准的环境影响评价文件中各项环境保护措施、污染物排放清单及其他有关内容载入排污许可证，并按证排污。</w:t>
      </w:r>
    </w:p>
    <w:p w14:paraId="2E0B4AD6">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项目建设要严格执行配套建设的环境保护设施与主体工程同时设计、同时施工、同时投入使用的环境保护“三同时”制度。项目竣工后，建设单位按规定程序进行环保设施竣工验收。验收合格后，项目方可正式投入运行。</w:t>
      </w:r>
    </w:p>
    <w:p w14:paraId="1B445562">
      <w:pPr>
        <w:keepNext w:val="0"/>
        <w:keepLines w:val="0"/>
        <w:pageBreakBefore w:val="0"/>
        <w:widowControl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kern w:val="0"/>
          <w:sz w:val="32"/>
          <w:szCs w:val="32"/>
          <w:lang w:val="en-US" w:eastAsia="zh-CN" w:bidi="ar-SA"/>
        </w:rPr>
        <w:t>六、由吉林市生态环境保护综合行政执法支队龙潭大队负责按照《建设项目环境保护事中事后监督管理办法（试行）》（环发〔2015〕163号）的规定，进行本建设项目事中事后的环境监督管理工作。</w:t>
      </w:r>
    </w:p>
    <w:p w14:paraId="0ABF153B">
      <w:pPr>
        <w:pStyle w:val="9"/>
        <w:rPr>
          <w:rFonts w:hint="eastAsia"/>
          <w:lang w:eastAsia="zh-CN"/>
        </w:rPr>
      </w:pPr>
    </w:p>
    <w:p w14:paraId="37802DAC">
      <w:pPr>
        <w:pStyle w:val="10"/>
        <w:widowControl w:val="0"/>
        <w:numPr>
          <w:ilvl w:val="0"/>
          <w:numId w:val="0"/>
        </w:numPr>
        <w:spacing w:line="576" w:lineRule="exact"/>
        <w:jc w:val="both"/>
        <w:rPr>
          <w:rFonts w:hint="eastAsia"/>
          <w:lang w:eastAsia="zh-CN"/>
        </w:rPr>
      </w:pPr>
    </w:p>
    <w:p w14:paraId="5D3DEDD5">
      <w:pPr>
        <w:pStyle w:val="10"/>
        <w:widowControl w:val="0"/>
        <w:numPr>
          <w:ilvl w:val="0"/>
          <w:numId w:val="0"/>
        </w:numPr>
        <w:spacing w:line="576" w:lineRule="exact"/>
        <w:jc w:val="both"/>
        <w:rPr>
          <w:rFonts w:hint="eastAsia"/>
          <w:lang w:eastAsia="zh-CN"/>
        </w:rPr>
      </w:pPr>
    </w:p>
    <w:p w14:paraId="7CDFEAC4">
      <w:pPr>
        <w:keepNext w:val="0"/>
        <w:keepLines w:val="0"/>
        <w:pageBreakBefore w:val="0"/>
        <w:widowControl w:val="0"/>
        <w:kinsoku/>
        <w:wordWrap/>
        <w:overflowPunct/>
        <w:topLinePunct w:val="0"/>
        <w:autoSpaceDE w:val="0"/>
        <w:autoSpaceDN w:val="0"/>
        <w:bidi w:val="0"/>
        <w:adjustRightInd w:val="0"/>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吉林市生态环境局</w:t>
      </w:r>
    </w:p>
    <w:p w14:paraId="7E14DD2F">
      <w:pPr>
        <w:keepNext w:val="0"/>
        <w:keepLines w:val="0"/>
        <w:pageBreakBefore w:val="0"/>
        <w:widowControl w:val="0"/>
        <w:kinsoku/>
        <w:wordWrap/>
        <w:overflowPunct/>
        <w:topLinePunct w:val="0"/>
        <w:autoSpaceDE w:val="0"/>
        <w:autoSpaceDN w:val="0"/>
        <w:bidi w:val="0"/>
        <w:adjustRightInd w:val="0"/>
        <w:snapToGrid/>
        <w:spacing w:line="560" w:lineRule="exact"/>
        <w:ind w:firstLine="4800" w:firstLineChars="1500"/>
        <w:textAlignment w:val="auto"/>
        <w:rPr>
          <w:rFonts w:hint="default" w:ascii="仿宋_GB2312" w:hAnsi="仿宋_GB2312" w:eastAsia="仿宋_GB2312" w:cs="仿宋_GB2312"/>
          <w:sz w:val="32"/>
          <w:szCs w:val="32"/>
          <w:lang w:val="en-US" w:eastAsia="zh-CN"/>
        </w:rPr>
      </w:pPr>
      <w:r>
        <w:rPr>
          <w:rFonts w:hint="eastAsia" w:cs="仿宋_GB2312"/>
          <w:sz w:val="32"/>
          <w:szCs w:val="32"/>
          <w:lang w:val="en-US" w:eastAsia="zh-CN"/>
        </w:rPr>
        <w:t>2025</w:t>
      </w:r>
      <w:r>
        <w:rPr>
          <w:rFonts w:hint="eastAsia" w:ascii="仿宋_GB2312" w:hAnsi="仿宋_GB2312" w:eastAsia="仿宋_GB2312" w:cs="仿宋_GB2312"/>
          <w:sz w:val="32"/>
          <w:szCs w:val="32"/>
        </w:rPr>
        <w:t>年</w:t>
      </w:r>
      <w:r>
        <w:rPr>
          <w:rFonts w:hint="eastAsia" w:cs="仿宋_GB2312"/>
          <w:sz w:val="32"/>
          <w:szCs w:val="32"/>
          <w:lang w:val="en-US" w:eastAsia="zh-CN"/>
        </w:rPr>
        <w:t>11月10</w:t>
      </w:r>
      <w:r>
        <w:rPr>
          <w:rFonts w:hint="eastAsia" w:ascii="仿宋_GB2312" w:hAnsi="仿宋_GB2312" w:eastAsia="仿宋_GB2312" w:cs="仿宋_GB2312"/>
          <w:sz w:val="32"/>
          <w:szCs w:val="32"/>
        </w:rPr>
        <w:t>日</w:t>
      </w:r>
      <w:r>
        <w:rPr>
          <w:rFonts w:hint="eastAsia" w:cs="仿宋_GB2312"/>
          <w:sz w:val="32"/>
          <w:szCs w:val="32"/>
          <w:lang w:val="en-US" w:eastAsia="zh-CN"/>
        </w:rPr>
        <w:t xml:space="preserve">        </w:t>
      </w:r>
    </w:p>
    <w:tbl>
      <w:tblPr>
        <w:tblStyle w:val="20"/>
        <w:tblpPr w:vertAnchor="page" w:horzAnchor="page" w:tblpX="1522" w:tblpY="14197"/>
        <w:tblOverlap w:val="never"/>
        <w:tblW w:w="886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30"/>
        <w:gridCol w:w="4431"/>
      </w:tblGrid>
      <w:tr w14:paraId="7E2367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blHeader/>
        </w:trPr>
        <w:tc>
          <w:tcPr>
            <w:tcW w:w="8861" w:type="dxa"/>
            <w:gridSpan w:val="2"/>
            <w:shd w:val="clear" w:color="auto" w:fill="auto"/>
          </w:tcPr>
          <w:p w14:paraId="356620AF">
            <w:pPr>
              <w:ind w:left="1160" w:leftChars="100" w:hanging="840" w:hangingChars="300"/>
              <w:jc w:val="left"/>
              <w:rPr>
                <w:rFonts w:ascii="仿宋" w:hAnsi="仿宋" w:eastAsia="仿宋"/>
                <w:sz w:val="28"/>
                <w:szCs w:val="28"/>
              </w:rPr>
            </w:pPr>
            <w:r>
              <w:rPr>
                <w:rFonts w:hint="eastAsia" w:ascii="仿宋" w:hAnsi="仿宋" w:eastAsia="仿宋"/>
                <w:sz w:val="28"/>
                <w:szCs w:val="28"/>
              </w:rPr>
              <w:t>抄送：</w:t>
            </w:r>
            <w:r>
              <w:rPr>
                <w:rFonts w:hint="eastAsia" w:ascii="仿宋" w:hAnsi="仿宋" w:eastAsia="仿宋" w:cs="Times New Roman"/>
                <w:sz w:val="28"/>
                <w:szCs w:val="28"/>
              </w:rPr>
              <w:t>吉林市生态环境保护综合行政执法支队龙潭大队</w:t>
            </w:r>
          </w:p>
        </w:tc>
      </w:tr>
      <w:tr w14:paraId="600F5C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rPr>
        <w:tc>
          <w:tcPr>
            <w:tcW w:w="4430" w:type="dxa"/>
            <w:shd w:val="clear" w:color="auto" w:fill="auto"/>
          </w:tcPr>
          <w:p w14:paraId="23959F85">
            <w:pPr>
              <w:ind w:left="0" w:leftChars="0" w:firstLine="280" w:firstLineChars="100"/>
              <w:jc w:val="left"/>
              <w:rPr>
                <w:rFonts w:hint="eastAsia" w:ascii="仿宋" w:hAnsi="仿宋" w:eastAsia="仿宋"/>
                <w:sz w:val="28"/>
                <w:szCs w:val="28"/>
                <w:lang w:val="en-US" w:eastAsia="zh-CN"/>
              </w:rPr>
            </w:pPr>
            <w:r>
              <w:rPr>
                <w:rFonts w:hint="eastAsia" w:ascii="仿宋" w:hAnsi="仿宋" w:eastAsia="仿宋"/>
                <w:sz w:val="28"/>
                <w:szCs w:val="28"/>
                <w:lang w:val="en-US" w:eastAsia="zh-CN"/>
              </w:rPr>
              <w:t>吉林市生态环境局</w:t>
            </w:r>
            <w:r>
              <w:rPr>
                <w:rFonts w:hint="eastAsia" w:ascii="仿宋" w:hAnsi="仿宋" w:eastAsia="仿宋"/>
                <w:sz w:val="28"/>
                <w:szCs w:val="28"/>
                <w:lang w:val="en-US" w:eastAsia="zh-CN"/>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5715</wp:posOffset>
                      </wp:positionV>
                      <wp:extent cx="562229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2229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0.45pt;height:0pt;width:442.7pt;z-index:251660288;mso-width-relative:page;mso-height-relative:page;" filled="f" stroked="t" coordsize="21600,21600" o:gfxdata="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jzS+NAAAAADAQAADwAAAAAA&#10;AAABACAAAAAiAAAAZHJzL2Rvd25yZXYueG1sUEsBAhQAFAAAAAgAh07iQEbxpi3iAQAAsQMAAA4A&#10;AAAAAAAAAQAgAAAAHwEAAGRycy9lMm9Eb2MueG1sUEsFBgAAAAAGAAYAWQEAAHMFAAAAAA==&#10;">
                      <v:fill on="f" focussize="0,0"/>
                      <v:stroke weight="0.5pt" color="#000000 [3213]" miterlimit="8" joinstyle="miter"/>
                      <v:imagedata o:title=""/>
                      <o:lock v:ext="edit" aspectratio="f"/>
                    </v:line>
                  </w:pict>
                </mc:Fallback>
              </mc:AlternateContent>
            </w:r>
          </w:p>
        </w:tc>
        <w:tc>
          <w:tcPr>
            <w:tcW w:w="4431" w:type="dxa"/>
            <w:shd w:val="clear" w:color="auto" w:fill="auto"/>
          </w:tcPr>
          <w:p w14:paraId="1F23576B">
            <w:pPr>
              <w:ind w:right="320" w:rightChars="100"/>
              <w:jc w:val="right"/>
              <w:rPr>
                <w:rFonts w:ascii="仿宋" w:hAnsi="仿宋" w:eastAsia="仿宋"/>
                <w:sz w:val="28"/>
                <w:szCs w:val="28"/>
              </w:rPr>
            </w:pPr>
            <w:r>
              <w:rPr>
                <w:rFonts w:hint="eastAsia" w:ascii="仿宋" w:hAnsi="仿宋" w:eastAsia="仿宋"/>
                <w:sz w:val="28"/>
                <w:szCs w:val="28"/>
                <w:lang w:val="en-US" w:eastAsia="zh-CN"/>
              </w:rPr>
              <w:t>2025</w:t>
            </w:r>
            <w:r>
              <w:rPr>
                <w:rFonts w:hint="eastAsia" w:ascii="仿宋" w:hAnsi="仿宋" w:eastAsia="仿宋"/>
                <w:sz w:val="28"/>
                <w:szCs w:val="28"/>
              </w:rPr>
              <w:t>年</w:t>
            </w:r>
            <w:r>
              <w:rPr>
                <w:rFonts w:hint="eastAsia" w:ascii="仿宋" w:hAnsi="仿宋" w:eastAsia="仿宋"/>
                <w:sz w:val="28"/>
                <w:szCs w:val="28"/>
                <w:lang w:val="en-US" w:eastAsia="zh-CN"/>
              </w:rPr>
              <w:t>11</w:t>
            </w:r>
            <w:r>
              <w:rPr>
                <w:rFonts w:hint="eastAsia" w:ascii="仿宋" w:hAnsi="仿宋" w:eastAsia="仿宋"/>
                <w:sz w:val="28"/>
                <w:szCs w:val="28"/>
              </w:rPr>
              <w:t>月</w:t>
            </w:r>
            <w:r>
              <w:rPr>
                <w:rFonts w:hint="eastAsia" w:ascii="仿宋" w:hAnsi="仿宋" w:eastAsia="仿宋"/>
                <w:sz w:val="28"/>
                <w:szCs w:val="28"/>
                <w:lang w:val="en-US" w:eastAsia="zh-CN"/>
              </w:rPr>
              <w:t>10</w:t>
            </w:r>
            <w:r>
              <w:rPr>
                <w:rFonts w:hint="eastAsia" w:ascii="仿宋" w:hAnsi="仿宋" w:eastAsia="仿宋"/>
                <w:sz w:val="28"/>
                <w:szCs w:val="28"/>
              </w:rPr>
              <w:t>日印发</w:t>
            </w:r>
          </w:p>
        </w:tc>
      </w:tr>
    </w:tbl>
    <w:p w14:paraId="1E0616B6">
      <w:pPr>
        <w:keepNext w:val="0"/>
        <w:keepLines w:val="0"/>
        <w:pageBreakBefore w:val="0"/>
        <w:widowControl w:val="0"/>
        <w:tabs>
          <w:tab w:val="left" w:pos="540"/>
        </w:tabs>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2619C74A-5D9E-4BF2-BE2A-16489B40D297}"/>
  </w:font>
  <w:font w:name="仿宋">
    <w:panose1 w:val="02010609060101010101"/>
    <w:charset w:val="86"/>
    <w:family w:val="auto"/>
    <w:pitch w:val="default"/>
    <w:sig w:usb0="800002BF" w:usb1="38CF7CFA" w:usb2="00000016" w:usb3="00000000" w:csb0="00040001" w:csb1="00000000"/>
    <w:embedRegular r:id="rId2" w:fontKey="{F6DE9092-D1B9-4570-9D82-4007970332FC}"/>
  </w:font>
  <w:font w:name="方正小标宋简体">
    <w:panose1 w:val="03000509000000000000"/>
    <w:charset w:val="86"/>
    <w:family w:val="auto"/>
    <w:pitch w:val="default"/>
    <w:sig w:usb0="00000001" w:usb1="080E0000" w:usb2="00000000" w:usb3="00000000" w:csb0="00040000" w:csb1="00000000"/>
    <w:embedRegular r:id="rId3" w:fontKey="{3E871278-C593-4D31-A857-F6FBEBF5D7C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76A12">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5F1EA8">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5F1EA8">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31924"/>
    <w:multiLevelType w:val="singleLevel"/>
    <w:tmpl w:val="01F31924"/>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1">
    <w:nsid w:val="2040111B"/>
    <w:multiLevelType w:val="singleLevel"/>
    <w:tmpl w:val="2040111B"/>
    <w:lvl w:ilvl="0" w:tentative="0">
      <w:start w:val="1"/>
      <w:numFmt w:val="chineseCounting"/>
      <w:suff w:val="nothing"/>
      <w:lvlText w:val="%1、"/>
      <w:lvlJc w:val="left"/>
      <w:rPr>
        <w:rFonts w:hint="eastAsia"/>
      </w:rPr>
    </w:lvl>
  </w:abstractNum>
  <w:abstractNum w:abstractNumId="2">
    <w:nsid w:val="73E381FC"/>
    <w:multiLevelType w:val="multilevel"/>
    <w:tmpl w:val="73E381FC"/>
    <w:lvl w:ilvl="0" w:tentative="0">
      <w:start w:val="1"/>
      <w:numFmt w:val="chineseCounting"/>
      <w:pStyle w:val="2"/>
      <w:suff w:val="nothing"/>
      <w:lvlText w:val="%1、"/>
      <w:lvlJc w:val="left"/>
      <w:pPr>
        <w:tabs>
          <w:tab w:val="left" w:pos="993"/>
        </w:tabs>
        <w:ind w:left="993" w:firstLine="0"/>
      </w:pPr>
      <w:rPr>
        <w:rFonts w:hint="eastAsia"/>
      </w:rPr>
    </w:lvl>
    <w:lvl w:ilvl="1" w:tentative="0">
      <w:start w:val="1"/>
      <w:numFmt w:val="chineseCounting"/>
      <w:pStyle w:val="3"/>
      <w:suff w:val="nothing"/>
      <w:lvlText w:val="（%2）"/>
      <w:lvlJc w:val="left"/>
      <w:pPr>
        <w:ind w:left="993" w:firstLine="0"/>
      </w:pPr>
      <w:rPr>
        <w:rFonts w:hint="eastAsia" w:ascii="仿宋" w:hAnsi="仿宋" w:eastAsia="仿宋" w:cs="宋体"/>
      </w:rPr>
    </w:lvl>
    <w:lvl w:ilvl="2" w:tentative="0">
      <w:start w:val="1"/>
      <w:numFmt w:val="decimal"/>
      <w:pStyle w:val="4"/>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MTIyMzMxMGUyZGRiNjRkMDExZjZjMjcxNWM0YmQifQ=="/>
  </w:docVars>
  <w:rsids>
    <w:rsidRoot w:val="535011CF"/>
    <w:rsid w:val="01215C29"/>
    <w:rsid w:val="0266438F"/>
    <w:rsid w:val="02E46937"/>
    <w:rsid w:val="030B6161"/>
    <w:rsid w:val="035B751F"/>
    <w:rsid w:val="039670E6"/>
    <w:rsid w:val="07264286"/>
    <w:rsid w:val="07542310"/>
    <w:rsid w:val="07DC57B4"/>
    <w:rsid w:val="08607EC0"/>
    <w:rsid w:val="08EA2658"/>
    <w:rsid w:val="09864BCA"/>
    <w:rsid w:val="0A094D1A"/>
    <w:rsid w:val="0C7236B3"/>
    <w:rsid w:val="0C803E0F"/>
    <w:rsid w:val="0CDC6843"/>
    <w:rsid w:val="0D2634C4"/>
    <w:rsid w:val="0D832131"/>
    <w:rsid w:val="0DB06FB5"/>
    <w:rsid w:val="0E102B78"/>
    <w:rsid w:val="0F062414"/>
    <w:rsid w:val="0F4C6BFF"/>
    <w:rsid w:val="0F873E45"/>
    <w:rsid w:val="0F914A2F"/>
    <w:rsid w:val="0FE15608"/>
    <w:rsid w:val="116E69B0"/>
    <w:rsid w:val="121B3756"/>
    <w:rsid w:val="12270675"/>
    <w:rsid w:val="140B464A"/>
    <w:rsid w:val="14311A36"/>
    <w:rsid w:val="14485080"/>
    <w:rsid w:val="14F05B14"/>
    <w:rsid w:val="1529088D"/>
    <w:rsid w:val="15D37529"/>
    <w:rsid w:val="160B1746"/>
    <w:rsid w:val="17400EF7"/>
    <w:rsid w:val="18381EC3"/>
    <w:rsid w:val="184419B1"/>
    <w:rsid w:val="18527E28"/>
    <w:rsid w:val="19D8137C"/>
    <w:rsid w:val="1A445BA3"/>
    <w:rsid w:val="1A50276F"/>
    <w:rsid w:val="1A9A1170"/>
    <w:rsid w:val="1A9D0C70"/>
    <w:rsid w:val="1B1F3CE5"/>
    <w:rsid w:val="1C681F7B"/>
    <w:rsid w:val="1CDD0E88"/>
    <w:rsid w:val="1D007D32"/>
    <w:rsid w:val="1D093E4D"/>
    <w:rsid w:val="1D175E0D"/>
    <w:rsid w:val="1EC975DB"/>
    <w:rsid w:val="1F196F14"/>
    <w:rsid w:val="1F30765A"/>
    <w:rsid w:val="1F560908"/>
    <w:rsid w:val="1FEB0348"/>
    <w:rsid w:val="20542ED4"/>
    <w:rsid w:val="2155673D"/>
    <w:rsid w:val="217B49B5"/>
    <w:rsid w:val="23F46EA8"/>
    <w:rsid w:val="23F76998"/>
    <w:rsid w:val="25334FFC"/>
    <w:rsid w:val="26E60F2F"/>
    <w:rsid w:val="27002679"/>
    <w:rsid w:val="2777171F"/>
    <w:rsid w:val="28374BF9"/>
    <w:rsid w:val="283F0D7D"/>
    <w:rsid w:val="284F0DCF"/>
    <w:rsid w:val="29E17ECF"/>
    <w:rsid w:val="29F17A79"/>
    <w:rsid w:val="2BEF7F49"/>
    <w:rsid w:val="2DE977AD"/>
    <w:rsid w:val="2E8A5DA3"/>
    <w:rsid w:val="2EE94141"/>
    <w:rsid w:val="310F3168"/>
    <w:rsid w:val="31CC241B"/>
    <w:rsid w:val="355A7EE2"/>
    <w:rsid w:val="355D1578"/>
    <w:rsid w:val="355D1A20"/>
    <w:rsid w:val="35A20867"/>
    <w:rsid w:val="380541CD"/>
    <w:rsid w:val="38A731BC"/>
    <w:rsid w:val="38AB0E58"/>
    <w:rsid w:val="3971572F"/>
    <w:rsid w:val="398E4E00"/>
    <w:rsid w:val="3A4A0CD0"/>
    <w:rsid w:val="3AB739AB"/>
    <w:rsid w:val="3AF143FE"/>
    <w:rsid w:val="3B164258"/>
    <w:rsid w:val="3D8E4D06"/>
    <w:rsid w:val="3EC15C04"/>
    <w:rsid w:val="40F33C83"/>
    <w:rsid w:val="44B65B7C"/>
    <w:rsid w:val="45076938"/>
    <w:rsid w:val="47107A2C"/>
    <w:rsid w:val="47B02837"/>
    <w:rsid w:val="49881965"/>
    <w:rsid w:val="4A413C1F"/>
    <w:rsid w:val="4A797DE0"/>
    <w:rsid w:val="4A9C14F9"/>
    <w:rsid w:val="4B701D22"/>
    <w:rsid w:val="4C6866A3"/>
    <w:rsid w:val="502B2C2C"/>
    <w:rsid w:val="510219E5"/>
    <w:rsid w:val="51BF1969"/>
    <w:rsid w:val="51E676C4"/>
    <w:rsid w:val="535011CF"/>
    <w:rsid w:val="55317D8A"/>
    <w:rsid w:val="55641C22"/>
    <w:rsid w:val="55A9182B"/>
    <w:rsid w:val="56353FD8"/>
    <w:rsid w:val="56EE7B37"/>
    <w:rsid w:val="57576CA1"/>
    <w:rsid w:val="57582925"/>
    <w:rsid w:val="57C316F3"/>
    <w:rsid w:val="58975A79"/>
    <w:rsid w:val="5B570E5D"/>
    <w:rsid w:val="5C6A282C"/>
    <w:rsid w:val="5DA57F32"/>
    <w:rsid w:val="5DE13458"/>
    <w:rsid w:val="5E944DA9"/>
    <w:rsid w:val="5F0E6770"/>
    <w:rsid w:val="61033D11"/>
    <w:rsid w:val="61A75455"/>
    <w:rsid w:val="61B7275D"/>
    <w:rsid w:val="621A0BB0"/>
    <w:rsid w:val="62341F48"/>
    <w:rsid w:val="6242353D"/>
    <w:rsid w:val="63A11840"/>
    <w:rsid w:val="64B36EE9"/>
    <w:rsid w:val="66095259"/>
    <w:rsid w:val="66732BA5"/>
    <w:rsid w:val="675A334B"/>
    <w:rsid w:val="685B4774"/>
    <w:rsid w:val="6A1F439D"/>
    <w:rsid w:val="6A524E2D"/>
    <w:rsid w:val="6A7774B8"/>
    <w:rsid w:val="6B5B0D2F"/>
    <w:rsid w:val="6BEA09C7"/>
    <w:rsid w:val="6CDE031D"/>
    <w:rsid w:val="6EFB604C"/>
    <w:rsid w:val="6F2B728F"/>
    <w:rsid w:val="70886160"/>
    <w:rsid w:val="71724535"/>
    <w:rsid w:val="71E3174B"/>
    <w:rsid w:val="72F75E47"/>
    <w:rsid w:val="73F12BC9"/>
    <w:rsid w:val="74BA710A"/>
    <w:rsid w:val="74BF4D8C"/>
    <w:rsid w:val="77E77D4F"/>
    <w:rsid w:val="78383202"/>
    <w:rsid w:val="7841456F"/>
    <w:rsid w:val="78853563"/>
    <w:rsid w:val="7A916D31"/>
    <w:rsid w:val="7B1B4558"/>
    <w:rsid w:val="7C1B42AF"/>
    <w:rsid w:val="7C876821"/>
    <w:rsid w:val="7C9F0813"/>
    <w:rsid w:val="7D136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2">
    <w:name w:val="heading 1"/>
    <w:basedOn w:val="1"/>
    <w:next w:val="1"/>
    <w:link w:val="26"/>
    <w:autoRedefine/>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3">
    <w:name w:val="heading 2"/>
    <w:basedOn w:val="1"/>
    <w:next w:val="1"/>
    <w:link w:val="25"/>
    <w:autoRedefine/>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4">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spacing w:line="520" w:lineRule="exact"/>
      <w:ind w:firstLine="420" w:firstLineChars="200"/>
    </w:pPr>
  </w:style>
  <w:style w:type="paragraph" w:customStyle="1" w:styleId="6">
    <w:name w:val="表头"/>
    <w:basedOn w:val="7"/>
    <w:next w:val="1"/>
    <w:qFormat/>
    <w:uiPriority w:val="0"/>
    <w:pPr>
      <w:spacing w:line="360" w:lineRule="auto"/>
      <w:ind w:firstLine="960" w:firstLineChars="400"/>
    </w:pPr>
    <w:rPr>
      <w:sz w:val="24"/>
    </w:rPr>
  </w:style>
  <w:style w:type="paragraph" w:styleId="7">
    <w:name w:val="List"/>
    <w:basedOn w:val="1"/>
    <w:next w:val="1"/>
    <w:qFormat/>
    <w:uiPriority w:val="0"/>
    <w:pPr>
      <w:ind w:left="200" w:hanging="200" w:hangingChars="200"/>
    </w:pPr>
  </w:style>
  <w:style w:type="paragraph" w:styleId="8">
    <w:name w:val="annotation text"/>
    <w:basedOn w:val="1"/>
    <w:autoRedefine/>
    <w:semiHidden/>
    <w:qFormat/>
    <w:uiPriority w:val="0"/>
    <w:pPr>
      <w:jc w:val="left"/>
    </w:pPr>
    <w:rPr>
      <w:kern w:val="0"/>
      <w:sz w:val="24"/>
      <w:szCs w:val="20"/>
    </w:rPr>
  </w:style>
  <w:style w:type="paragraph" w:styleId="9">
    <w:name w:val="Body Text"/>
    <w:basedOn w:val="1"/>
    <w:next w:val="10"/>
    <w:autoRedefine/>
    <w:qFormat/>
    <w:uiPriority w:val="0"/>
    <w:rPr>
      <w:sz w:val="28"/>
    </w:rPr>
  </w:style>
  <w:style w:type="paragraph" w:styleId="10">
    <w:name w:val="List Bullet 5"/>
    <w:basedOn w:val="1"/>
    <w:autoRedefine/>
    <w:qFormat/>
    <w:uiPriority w:val="0"/>
    <w:pPr>
      <w:numPr>
        <w:ilvl w:val="0"/>
        <w:numId w:val="2"/>
      </w:numPr>
    </w:pPr>
  </w:style>
  <w:style w:type="paragraph" w:styleId="11">
    <w:name w:val="Plain Text"/>
    <w:basedOn w:val="1"/>
    <w:next w:val="1"/>
    <w:autoRedefine/>
    <w:qFormat/>
    <w:uiPriority w:val="0"/>
    <w:rPr>
      <w:rFonts w:ascii="宋体" w:hAnsi="Courier New"/>
    </w:rPr>
  </w:style>
  <w:style w:type="paragraph" w:styleId="12">
    <w:name w:val="Date"/>
    <w:basedOn w:val="1"/>
    <w:next w:val="1"/>
    <w:autoRedefine/>
    <w:qFormat/>
    <w:uiPriority w:val="0"/>
    <w:pPr>
      <w:ind w:leftChars="2500"/>
    </w:pPr>
    <w:rPr>
      <w:rFonts w:eastAsia="仿宋_GB2312"/>
      <w:sz w:val="32"/>
    </w:rPr>
  </w:style>
  <w:style w:type="paragraph" w:styleId="13">
    <w:name w:val="footer"/>
    <w:basedOn w:val="1"/>
    <w:autoRedefine/>
    <w:qFormat/>
    <w:uiPriority w:val="0"/>
    <w:pPr>
      <w:tabs>
        <w:tab w:val="center" w:pos="4153"/>
        <w:tab w:val="right" w:pos="8306"/>
      </w:tabs>
      <w:snapToGrid w:val="0"/>
      <w:jc w:val="left"/>
    </w:pPr>
    <w:rPr>
      <w:sz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autoRedefine/>
    <w:qFormat/>
    <w:uiPriority w:val="0"/>
  </w:style>
  <w:style w:type="paragraph" w:styleId="16">
    <w:name w:val="footnote text"/>
    <w:basedOn w:val="1"/>
    <w:autoRedefine/>
    <w:qFormat/>
    <w:uiPriority w:val="0"/>
    <w:pPr>
      <w:snapToGrid w:val="0"/>
      <w:jc w:val="left"/>
    </w:pPr>
    <w:rPr>
      <w:sz w:val="18"/>
    </w:rPr>
  </w:style>
  <w:style w:type="paragraph" w:styleId="17">
    <w:name w:val="toc 2"/>
    <w:basedOn w:val="1"/>
    <w:next w:val="1"/>
    <w:autoRedefine/>
    <w:qFormat/>
    <w:uiPriority w:val="0"/>
    <w:pPr>
      <w:ind w:left="420" w:leftChars="200"/>
    </w:pPr>
  </w:style>
  <w:style w:type="paragraph" w:styleId="18">
    <w:name w:val="Body Text 2"/>
    <w:basedOn w:val="1"/>
    <w:qFormat/>
    <w:uiPriority w:val="0"/>
    <w:pPr>
      <w:spacing w:after="120" w:line="480" w:lineRule="auto"/>
    </w:pPr>
  </w:style>
  <w:style w:type="table" w:styleId="20">
    <w:name w:val="Table Grid"/>
    <w:basedOn w:val="19"/>
    <w:autoRedefine/>
    <w:qFormat/>
    <w:uiPriority w:val="39"/>
    <w:rPr>
      <w:rFonts w:ascii="Times New Roman" w:hAnsi="Times New Roman" w:eastAsia="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Pr>
    <w:tblStylePr w:type="firstRow">
      <w:tblPr/>
      <w:trPr>
        <w:tblHeader/>
      </w:trPr>
      <w:tcPr>
        <w:shd w:val="clear" w:color="auto" w:fill="D8D8D8" w:themeFill="background1" w:themeFillShade="D9"/>
      </w:tcPr>
    </w:tblStylePr>
  </w:style>
  <w:style w:type="paragraph" w:customStyle="1" w:styleId="22">
    <w:name w:val="样式 正文11 + 首行缩进:  2 字符"/>
    <w:basedOn w:val="1"/>
    <w:autoRedefine/>
    <w:qFormat/>
    <w:uiPriority w:val="0"/>
    <w:pPr>
      <w:spacing w:line="500" w:lineRule="exact"/>
      <w:ind w:firstLine="560" w:firstLineChars="200"/>
    </w:pPr>
    <w:rPr>
      <w:rFonts w:ascii="宋体" w:hAnsi="宋体" w:cs="宋体"/>
      <w:color w:val="FF0000"/>
      <w:sz w:val="28"/>
      <w:szCs w:val="20"/>
    </w:rPr>
  </w:style>
  <w:style w:type="paragraph" w:customStyle="1" w:styleId="23">
    <w:name w:val="Default"/>
    <w:basedOn w:val="24"/>
    <w:next w:val="1"/>
    <w:autoRedefine/>
    <w:qFormat/>
    <w:uiPriority w:val="0"/>
    <w:pPr>
      <w:autoSpaceDE w:val="0"/>
      <w:autoSpaceDN w:val="0"/>
      <w:jc w:val="left"/>
    </w:pPr>
    <w:rPr>
      <w:rFonts w:hint="eastAsia" w:ascii="宋体" w:eastAsia="宋体" w:cs="Times New Roman"/>
      <w:color w:val="000000"/>
      <w:kern w:val="0"/>
      <w:sz w:val="24"/>
    </w:rPr>
  </w:style>
  <w:style w:type="paragraph" w:customStyle="1" w:styleId="24">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25">
    <w:name w:val="标题 2 Char"/>
    <w:link w:val="3"/>
    <w:autoRedefine/>
    <w:qFormat/>
    <w:locked/>
    <w:uiPriority w:val="99"/>
    <w:rPr>
      <w:rFonts w:ascii="Arial" w:hAnsi="Arial" w:eastAsia="宋体" w:cs="Times New Roman"/>
      <w:b/>
      <w:bCs/>
      <w:sz w:val="28"/>
      <w:szCs w:val="32"/>
    </w:rPr>
  </w:style>
  <w:style w:type="character" w:customStyle="1" w:styleId="26">
    <w:name w:val="标题 1 Char"/>
    <w:link w:val="2"/>
    <w:autoRedefine/>
    <w:qFormat/>
    <w:locked/>
    <w:uiPriority w:val="99"/>
    <w:rPr>
      <w:rFonts w:ascii="Calibri" w:hAnsi="Calibri" w:eastAsia="宋体"/>
      <w:b/>
      <w:kern w:val="44"/>
      <w:sz w:val="44"/>
      <w:szCs w:val="24"/>
      <w:lang w:bidi="ar-SA"/>
    </w:rPr>
  </w:style>
  <w:style w:type="paragraph" w:customStyle="1" w:styleId="27">
    <w:name w:val="环保表内字（小五）"/>
    <w:basedOn w:val="1"/>
    <w:autoRedefine/>
    <w:qFormat/>
    <w:uiPriority w:val="0"/>
    <w:pPr>
      <w:adjustRightInd w:val="0"/>
      <w:snapToGrid w:val="0"/>
      <w:jc w:val="center"/>
    </w:pPr>
    <w:rPr>
      <w:rFonts w:ascii="宋体" w:hAnsi="宋体"/>
      <w:snapToGrid w:val="0"/>
      <w:sz w:val="18"/>
      <w:szCs w:val="20"/>
    </w:rPr>
  </w:style>
  <w:style w:type="paragraph" w:customStyle="1" w:styleId="28">
    <w:name w:val="正文文本1"/>
    <w:basedOn w:val="1"/>
    <w:autoRedefine/>
    <w:qFormat/>
    <w:uiPriority w:val="0"/>
    <w:pPr>
      <w:spacing w:line="500" w:lineRule="exact"/>
    </w:pPr>
    <w:rPr>
      <w:rFonts w:ascii="宋体" w:hAnsi="宋体"/>
      <w:sz w:val="28"/>
    </w:rPr>
  </w:style>
  <w:style w:type="paragraph" w:customStyle="1" w:styleId="29">
    <w:name w:val="环保-正文内容"/>
    <w:basedOn w:val="1"/>
    <w:next w:val="1"/>
    <w:autoRedefine/>
    <w:qFormat/>
    <w:uiPriority w:val="0"/>
    <w:pPr>
      <w:adjustRightInd w:val="0"/>
      <w:snapToGrid w:val="0"/>
      <w:spacing w:line="360" w:lineRule="auto"/>
      <w:ind w:firstLine="200" w:firstLineChars="200"/>
      <w:jc w:val="both"/>
    </w:pPr>
    <w:rPr>
      <w:rFonts w:cs="宋体"/>
      <w:sz w:val="24"/>
    </w:rPr>
  </w:style>
  <w:style w:type="paragraph" w:customStyle="1" w:styleId="30">
    <w:name w:val="正文_5"/>
    <w:qFormat/>
    <w:uiPriority w:val="0"/>
    <w:pPr>
      <w:widowControl w:val="0"/>
      <w:jc w:val="both"/>
    </w:pPr>
    <w:rPr>
      <w:rFonts w:ascii="Calibri" w:hAnsi="Calibri" w:eastAsia="宋体" w:cs="Times New Roman"/>
      <w:kern w:val="2"/>
      <w:sz w:val="21"/>
      <w:lang w:val="en-US" w:eastAsia="zh-CN" w:bidi="ar-SA"/>
    </w:rPr>
  </w:style>
  <w:style w:type="paragraph" w:customStyle="1" w:styleId="31">
    <w:name w:val="样式4"/>
    <w:basedOn w:val="32"/>
    <w:qFormat/>
    <w:uiPriority w:val="0"/>
    <w:pPr>
      <w:tabs>
        <w:tab w:val="right" w:leader="dot" w:pos="8607"/>
        <w:tab w:val="right" w:leader="dot" w:pos="8891"/>
      </w:tabs>
      <w:spacing w:line="240" w:lineRule="auto"/>
      <w:ind w:firstLine="0" w:firstLineChars="0"/>
      <w:jc w:val="center"/>
    </w:pPr>
    <w:rPr>
      <w:sz w:val="21"/>
    </w:rPr>
  </w:style>
  <w:style w:type="paragraph" w:customStyle="1" w:styleId="32">
    <w:name w:val="样式1"/>
    <w:basedOn w:val="5"/>
    <w:next w:val="1"/>
    <w:qFormat/>
    <w:uiPriority w:val="0"/>
    <w:pPr>
      <w:tabs>
        <w:tab w:val="right" w:leader="dot" w:pos="8607"/>
        <w:tab w:val="right" w:leader="dot" w:pos="8891"/>
      </w:tabs>
      <w:spacing w:line="360" w:lineRule="auto"/>
      <w:ind w:firstLine="482" w:firstLineChars="200"/>
      <w:jc w:val="left"/>
    </w:pPr>
    <w:rPr>
      <w:rFonts w:ascii="Times New Roman" w:hAnsi="Times New Roman" w:eastAsia="宋体"/>
      <w:sz w:val="24"/>
      <w:szCs w:val="28"/>
    </w:rPr>
  </w:style>
  <w:style w:type="paragraph" w:styleId="33">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3214</Words>
  <Characters>3526</Characters>
  <Lines>0</Lines>
  <Paragraphs>0</Paragraphs>
  <TotalTime>35</TotalTime>
  <ScaleCrop>false</ScaleCrop>
  <LinksUpToDate>false</LinksUpToDate>
  <CharactersWithSpaces>3540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W琪</cp:lastModifiedBy>
  <cp:lastPrinted>2025-11-07T06:04:53Z</cp:lastPrinted>
  <dcterms:modified xsi:type="dcterms:W3CDTF">2025-11-07T06:11:56Z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D7E50A25E0AE42AF9C1E09D5A3F2B376_13</vt:lpwstr>
  </property>
  <property fmtid="{D5CDD505-2E9C-101B-9397-08002B2CF9AE}" pid="4" name="KSOTemplateDocerSaveRecord">
    <vt:lpwstr>eyJoZGlkIjoiMDc5MzViOWI5ODMxNmU1MjFmZjY5NjVlZTE5M2Q2YjUiLCJ1c2VySWQiOiIzNDEzNjc4NTYifQ==</vt:lpwstr>
  </property>
</Properties>
</file>