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2404E5">
      <w:pPr>
        <w:rPr>
          <w:rFonts w:hint="eastAsia" w:eastAsia="仿宋_GB2312"/>
          <w:sz w:val="32"/>
          <w:lang w:eastAsia="zh-CN"/>
        </w:rPr>
      </w:pPr>
    </w:p>
    <w:p w14:paraId="7D1CF47B">
      <w:pPr>
        <w:bidi w:val="0"/>
        <w:rPr>
          <w:rFonts w:hint="eastAsia" w:ascii="仿宋_GB2312" w:hAnsi="仿宋_GB2312" w:eastAsia="仿宋_GB2312" w:cs="Times New Roman"/>
          <w:kern w:val="2"/>
          <w:sz w:val="32"/>
          <w:szCs w:val="32"/>
          <w:lang w:val="en-US" w:eastAsia="zh-CN" w:bidi="ar-SA"/>
        </w:rPr>
      </w:pPr>
    </w:p>
    <w:p w14:paraId="50FAD7EE">
      <w:pPr>
        <w:bidi w:val="0"/>
        <w:rPr>
          <w:rFonts w:hint="eastAsia"/>
          <w:lang w:val="en-US" w:eastAsia="zh-CN"/>
        </w:rPr>
      </w:pPr>
    </w:p>
    <w:p w14:paraId="31B16F0C">
      <w:pPr>
        <w:bidi w:val="0"/>
        <w:rPr>
          <w:rFonts w:hint="eastAsia"/>
          <w:lang w:val="en-US" w:eastAsia="zh-CN"/>
        </w:rPr>
      </w:pPr>
    </w:p>
    <w:p w14:paraId="1FFC187C">
      <w:pPr>
        <w:bidi w:val="0"/>
        <w:rPr>
          <w:rFonts w:hint="eastAsia"/>
          <w:lang w:val="en-US" w:eastAsia="zh-CN"/>
        </w:rPr>
      </w:pPr>
    </w:p>
    <w:p w14:paraId="59A4067D">
      <w:pPr>
        <w:bidi w:val="0"/>
        <w:rPr>
          <w:rFonts w:hint="eastAsia"/>
          <w:lang w:val="en-US" w:eastAsia="zh-CN"/>
        </w:rPr>
      </w:pPr>
    </w:p>
    <w:p w14:paraId="069DF23D">
      <w:pPr>
        <w:bidi w:val="0"/>
        <w:rPr>
          <w:rFonts w:hint="eastAsia"/>
          <w:lang w:val="en-US" w:eastAsia="zh-CN"/>
        </w:rPr>
      </w:pPr>
    </w:p>
    <w:p w14:paraId="44399460">
      <w:pPr>
        <w:bidi w:val="0"/>
        <w:ind w:left="0" w:leftChars="0" w:firstLine="0" w:firstLineChars="0"/>
        <w:jc w:val="center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2402A13D">
      <w:pPr>
        <w:bidi w:val="0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吉市（龙）环建（表）字〔20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〕</w:t>
      </w:r>
      <w:r>
        <w:rPr>
          <w:rFonts w:hint="eastAsia" w:cs="仿宋_GB2312"/>
          <w:spacing w:val="-20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号</w:t>
      </w:r>
    </w:p>
    <w:p w14:paraId="3F48B568">
      <w:pPr>
        <w:bidi w:val="0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pacing w:val="-20"/>
          <w:sz w:val="32"/>
          <w:szCs w:val="32"/>
        </w:rPr>
      </w:pPr>
    </w:p>
    <w:p w14:paraId="277EA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00" w:afterAutospacing="1" w:line="72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关于长吉线吉林输油站泄压罐改造工程项目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w w:val="90"/>
          <w:sz w:val="44"/>
          <w:szCs w:val="44"/>
        </w:rPr>
        <w:t>环境影响报告表的批复</w:t>
      </w:r>
    </w:p>
    <w:p w14:paraId="3F82A4A9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国家管网集团北方管道有限责任公司长春输油气分公司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：</w:t>
      </w:r>
    </w:p>
    <w:p w14:paraId="5027B2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你单位《关于对〈长吉线吉林输油站泄压罐改造工程项目环境影响报告表〉审查的申请》和委托吉林省洪实环境技术服务有限公司编制的《长吉线吉林输油站泄压罐改造工程项目环境影响报告表》（报批版）收悉。经研究，现批复如下：　</w:t>
      </w:r>
    </w:p>
    <w:p w14:paraId="0AE71A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cs="仿宋_GB2312"/>
          <w:color w:val="000000"/>
          <w:kern w:val="0"/>
          <w:sz w:val="32"/>
          <w:szCs w:val="32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位于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吉林市龙潭区榆树沟村吉林输油站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现有厂区内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企业于2010年4月2日取得原吉林省环境保护厅关于《东部原油管网俄油引进配套长吉线扩能改造工程环境影响报告书》（吉环审字〔2010〕116号）的批复；于2012年3月28日通过长春市环境监察大队及吉林市环境监察大队验收，并于2012年4月12日取得吉林省环境保护厅验收意见，验收批复文号：吉环审验字〔2012〕72号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该项目新建300m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vertAlign w:val="superscript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拱顶泄压罐、罐前阀组及300m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vertAlign w:val="superscript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拱顶泄压罐的泄压进罐管线，并与已建1×10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vertAlign w:val="superscript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m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vertAlign w:val="superscript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浮顶泄压罐的进罐泄压管线及罐前泵入口管线动火连接。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为确保站场泄压能力，本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项目</w:t>
      </w:r>
      <w:r>
        <w:rPr>
          <w:rFonts w:hint="eastAsia" w:cs="仿宋_GB2312"/>
          <w:kern w:val="0"/>
          <w:sz w:val="32"/>
          <w:szCs w:val="32"/>
          <w:highlight w:val="none"/>
          <w:lang w:val="en-US" w:eastAsia="zh-CN" w:bidi="ar-SA"/>
        </w:rPr>
        <w:t>建成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后，</w:t>
      </w:r>
      <w:r>
        <w:rPr>
          <w:rFonts w:hint="eastAsia" w:cs="仿宋_GB2312"/>
          <w:kern w:val="0"/>
          <w:sz w:val="32"/>
          <w:szCs w:val="32"/>
          <w:highlight w:val="none"/>
          <w:lang w:val="en-US" w:eastAsia="zh-CN" w:bidi="ar-SA"/>
        </w:rPr>
        <w:t>现有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1×10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vertAlign w:val="superscript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vertAlign w:val="superscript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浮顶泄压罐立即清罐封存。</w:t>
      </w:r>
    </w:p>
    <w:p w14:paraId="21F12D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主体工程：新建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1座300m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vertAlign w:val="superscript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泄压罐，地上拱顶型式，为立式圆筒形钢制焊接储罐，储罐内径7.5m，罐壁高度8.91m，配套建设管线工程</w:t>
      </w:r>
      <w:r>
        <w:rPr>
          <w:rFonts w:hint="eastAsia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防火堤前</w:t>
      </w:r>
      <w:r>
        <w:rPr>
          <w:rFonts w:hint="eastAsia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段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雨水管道</w:t>
      </w:r>
      <w:r>
        <w:rPr>
          <w:rFonts w:hint="eastAsia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设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沉砂井和截油排水器，防火堤</w:t>
      </w:r>
      <w:r>
        <w:rPr>
          <w:rFonts w:hint="eastAsia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后段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雨水管道设截断阀门和水封井设施</w:t>
      </w:r>
      <w:r>
        <w:rPr>
          <w:rFonts w:hint="eastAsia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2"/>
          <w:sz w:val="32"/>
          <w:szCs w:val="32"/>
          <w:highlight w:val="none"/>
          <w:u w:val="none" w:color="auto"/>
          <w:lang w:val="en-US" w:eastAsia="zh-CN" w:bidi="ar-SA"/>
        </w:rPr>
        <w:t>公用工程依托现有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该项目不新增员工，由现有员工进行调配。单位实行五班三倒，每班工作8小时，年工作350天。本项目不新增占地。项目总投资472万元，其中环保投资5万元。根据环境影响报告表评价结论和技术评估意见，严格落实环境影响报告表提出的各项环境保护和环境风险防控措施。我局原则同意建设单位按照环评报告及下述要求进行项目建设。该项目环境影响报告表（报批版）可以作为环保设计及其建成后环境管理依据。</w:t>
      </w:r>
    </w:p>
    <w:p w14:paraId="75804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二、项目建设应重点做好以下工作：</w:t>
      </w:r>
    </w:p>
    <w:p w14:paraId="1EF78CC1">
      <w:pPr>
        <w:pStyle w:val="12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加强建设期环境管理。施工期对作业场所及进出道路洒水抑尘，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选用环保焊条和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焊接方式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施工废水经临时沉淀池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沉淀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后用于洒水降尘；生活污水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排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入吉化炼油厂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污水处理系统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后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，进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入吉化污水处理厂处理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达标后排入松花江。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施工废料可回收部分外卖至废品收购站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不可回收部分与生活垃圾集中收集</w:t>
      </w:r>
      <w:r>
        <w:rPr>
          <w:rFonts w:hint="eastAsia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由环卫部门处理</w:t>
      </w:r>
      <w:r>
        <w:rPr>
          <w:rFonts w:hint="eastAsia" w:cs="仿宋_GB2312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选用低噪声设备，高噪声设备安装减振隔音基础，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禁止夜间施工，控制施工期噪声符合《建筑施工场界环境噪声排放标准》（GB12523-2011）要求，将项目建设对外界环境影响降至最低。</w:t>
      </w:r>
    </w:p>
    <w:p w14:paraId="4ECF45F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本项目无新增生活污水；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初期雨水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蒸汽冷凝水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经管网进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入吉化炼油厂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污水处理系统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后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排入吉化污水处理厂处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理达标后排入松花江。</w:t>
      </w:r>
      <w:bookmarkStart w:id="0" w:name="_GoBack"/>
      <w:bookmarkEnd w:id="0"/>
    </w:p>
    <w:p w14:paraId="17A6E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本项目新建罐体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采用固定顶罐，定期检查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维护</w:t>
      </w:r>
      <w:r>
        <w:rPr>
          <w:rFonts w:hint="eastAsia" w:ascii="仿宋_GB2312" w:hAnsi="仿宋_GB2312" w:eastAsia="仿宋_GB2312" w:cs="仿宋_GB2312"/>
          <w:b w:val="0"/>
          <w:kern w:val="0"/>
          <w:sz w:val="32"/>
          <w:szCs w:val="32"/>
          <w:lang w:val="en-US" w:eastAsia="zh-CN" w:bidi="ar-SA"/>
        </w:rPr>
        <w:t>呼吸阀</w:t>
      </w:r>
      <w:r>
        <w:rPr>
          <w:rFonts w:hint="eastAsia" w:cs="仿宋_GB2312"/>
          <w:b w:val="0"/>
          <w:kern w:val="0"/>
          <w:sz w:val="32"/>
          <w:szCs w:val="32"/>
          <w:lang w:val="en-US" w:eastAsia="zh-CN" w:bidi="ar-SA"/>
        </w:rPr>
        <w:t>等设备设施，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加强管理，确保厂界非甲烷总烃无组织排放</w:t>
      </w:r>
      <w:r>
        <w:rPr>
          <w:rFonts w:hint="eastAsia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符合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《储油库大气污染物排放标准》（GB20950-2020）中企业边界排放限值要求，厂区内非甲烷总烃无组织排放</w:t>
      </w:r>
      <w:r>
        <w:rPr>
          <w:rFonts w:hint="eastAsia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符合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u w:val="none" w:color="auto"/>
          <w:lang w:val="en-US" w:eastAsia="zh-CN"/>
        </w:rPr>
        <w:t>《挥发性有机物无组织排放控制标准》（GB37822-2019）中特别排放限值要求。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 xml:space="preserve">                                   </w:t>
      </w:r>
    </w:p>
    <w:p w14:paraId="47199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加强日常检修和维护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进行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泄压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工作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采取消声、隔声、</w:t>
      </w:r>
      <w:r>
        <w:rPr>
          <w:rFonts w:hint="eastAsia" w:cs="仿宋_GB2312"/>
          <w:color w:val="auto"/>
          <w:sz w:val="32"/>
          <w:szCs w:val="32"/>
          <w:highlight w:val="none"/>
          <w:lang w:eastAsia="zh-CN"/>
        </w:rPr>
        <w:t>减振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措施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，确保厂界噪声符合《工业企业厂界环境噪声排放标准》（GB12348-2008）中3类声环境功能区限值。</w:t>
      </w:r>
    </w:p>
    <w:p w14:paraId="5230C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5.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严格按照有关规定，对固体废物实施分类处理、处置，做到“减量化、资源化、无害化”，防止产生二次污染。本项目产生的固废主要为</w:t>
      </w:r>
      <w:r>
        <w:rPr>
          <w:rFonts w:hint="eastAsia" w:cs="仿宋_GB2312"/>
          <w:kern w:val="0"/>
          <w:sz w:val="32"/>
          <w:szCs w:val="32"/>
          <w:lang w:val="en-US" w:eastAsia="zh-CN"/>
        </w:rPr>
        <w:t>现有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泄压罐封存前及新建泄压罐清罐作业产生的油泥、沙粒混合物</w:t>
      </w:r>
      <w:r>
        <w:rPr>
          <w:rFonts w:hint="eastAsia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清罐作业委托有资质的第三方公司进行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产生的油泥、沙粒混合物立即由有资质单位进行转运处置，不在站场内暂存</w:t>
      </w:r>
      <w:r>
        <w:rPr>
          <w:rFonts w:hint="eastAsia" w:cs="仿宋_GB2312"/>
          <w:kern w:val="0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加强管理，确保危险废物处置符合《危险废物贮存污染控制标准》（GB18597-2023）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及《危险废物转移管理办法》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一般工业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固体废物处置符合《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一般工业固体废物贮存和填埋污染控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制标准》（GB18599-2020）。</w:t>
      </w:r>
    </w:p>
    <w:p w14:paraId="1125E30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napToGrid/>
        <w:spacing w:line="52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落实地下水和土壤污染防治措施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本项目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采</w:t>
      </w:r>
      <w:r>
        <w:rPr>
          <w:rFonts w:hint="eastAsia" w:cs="仿宋_GB2312"/>
          <w:kern w:val="0"/>
          <w:sz w:val="32"/>
          <w:szCs w:val="32"/>
          <w:lang w:val="en-US" w:eastAsia="zh-CN"/>
        </w:rPr>
        <w:t>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防腐、防渗漏无缝钢管输油管线</w:t>
      </w:r>
      <w:r>
        <w:rPr>
          <w:rFonts w:hint="eastAsia" w:cs="仿宋_GB2312"/>
          <w:kern w:val="0"/>
          <w:sz w:val="32"/>
          <w:szCs w:val="32"/>
          <w:lang w:val="en-US" w:eastAsia="zh-CN"/>
        </w:rPr>
        <w:t>并对厂区进行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分区防渗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防火堤、围堰</w:t>
      </w:r>
      <w:r>
        <w:rPr>
          <w:rFonts w:hint="eastAsia" w:cs="仿宋_GB2312"/>
          <w:kern w:val="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>储罐所在场地、管线经过的地面</w:t>
      </w:r>
      <w:r>
        <w:rPr>
          <w:rFonts w:hint="eastAsia" w:cs="仿宋_GB2312"/>
          <w:bCs/>
          <w:color w:val="auto"/>
          <w:kern w:val="0"/>
          <w:sz w:val="32"/>
          <w:szCs w:val="32"/>
          <w:lang w:val="en-US" w:eastAsia="zh-CN" w:bidi="ar-SA"/>
        </w:rPr>
        <w:t>采取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lang w:val="en-US" w:eastAsia="zh-CN" w:bidi="ar-SA"/>
        </w:rPr>
        <w:t>重点防渗</w:t>
      </w:r>
      <w:r>
        <w:rPr>
          <w:rFonts w:hint="eastAsia" w:cs="仿宋_GB2312"/>
          <w:bCs/>
          <w:color w:val="auto"/>
          <w:kern w:val="0"/>
          <w:sz w:val="32"/>
          <w:szCs w:val="32"/>
          <w:lang w:val="en-US" w:eastAsia="zh-CN" w:bidi="ar-SA"/>
        </w:rPr>
        <w:t>措施，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其他场地</w:t>
      </w:r>
      <w:r>
        <w:rPr>
          <w:rFonts w:hint="eastAsia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采取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一般防渗</w:t>
      </w:r>
      <w:r>
        <w:rPr>
          <w:rFonts w:hint="eastAsia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措施</w:t>
      </w:r>
      <w:r>
        <w:rPr>
          <w:rFonts w:hint="eastAsia" w:ascii="仿宋_GB2312" w:hAnsi="仿宋_GB2312" w:eastAsia="仿宋_GB2312" w:cs="仿宋_GB2312"/>
          <w:bCs/>
          <w:color w:val="auto"/>
          <w:kern w:val="0"/>
          <w:sz w:val="32"/>
          <w:szCs w:val="32"/>
          <w:highlight w:val="none"/>
          <w:lang w:val="en-US" w:eastAsia="zh-CN" w:bidi="ar-SA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建立监管制度，对各防渗点位进行定期检查及修复，以免防渗层意外破损导致污染物下渗污染地下水及土壤环境。</w:t>
      </w:r>
    </w:p>
    <w:p w14:paraId="402FF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7.严格落实环评报告表中的风险防范和应急措施，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及时修订企业应急预案。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/>
        </w:rPr>
        <w:t>采取三级防控措施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 w:eastAsia="zh-CN"/>
        </w:rPr>
        <w:t>，一级防控</w:t>
      </w:r>
      <w:r>
        <w:rPr>
          <w:rFonts w:hint="eastAsia" w:cs="仿宋_GB2312"/>
          <w:kern w:val="0"/>
          <w:sz w:val="32"/>
          <w:szCs w:val="32"/>
          <w:lang w:val="en-GB"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 w:eastAsia="zh-CN"/>
        </w:rPr>
        <w:t>围堰、防火堤；二级防控</w:t>
      </w:r>
      <w:r>
        <w:rPr>
          <w:rFonts w:hint="eastAsia" w:cs="仿宋_GB2312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 w:eastAsia="zh-CN"/>
        </w:rPr>
        <w:t>站场围墙、区域围墙</w:t>
      </w:r>
      <w:r>
        <w:rPr>
          <w:rFonts w:hint="eastAsia" w:cs="仿宋_GB2312"/>
          <w:kern w:val="0"/>
          <w:sz w:val="32"/>
          <w:szCs w:val="32"/>
          <w:lang w:val="en-GB" w:eastAsia="zh-CN"/>
        </w:rPr>
        <w:t>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 w:eastAsia="zh-CN"/>
        </w:rPr>
        <w:t>大门挡板</w:t>
      </w:r>
      <w:r>
        <w:rPr>
          <w:rFonts w:hint="eastAsia" w:cs="仿宋_GB2312"/>
          <w:kern w:val="0"/>
          <w:sz w:val="32"/>
          <w:szCs w:val="32"/>
          <w:lang w:val="en-GB" w:eastAsia="zh-CN"/>
        </w:rPr>
        <w:t>；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 w:eastAsia="zh-CN"/>
        </w:rPr>
        <w:t>三级防控</w:t>
      </w:r>
      <w:r>
        <w:rPr>
          <w:rFonts w:hint="eastAsia" w:cs="仿宋_GB2312"/>
          <w:kern w:val="0"/>
          <w:sz w:val="32"/>
          <w:szCs w:val="32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 w:eastAsia="zh-CN"/>
        </w:rPr>
        <w:t>吉化炼油厂12000m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vertAlign w:val="superscript"/>
          <w:lang w:val="en-GB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GB" w:eastAsia="zh-CN"/>
        </w:rPr>
        <w:t>末端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GB" w:eastAsia="zh-CN"/>
        </w:rPr>
        <w:t>事故池。泄压罐设有温度检测、液位检测、液位报警及联锁控制</w:t>
      </w:r>
      <w:r>
        <w:rPr>
          <w:rFonts w:hint="eastAsia" w:cs="仿宋_GB2312"/>
          <w:kern w:val="0"/>
          <w:sz w:val="32"/>
          <w:szCs w:val="32"/>
          <w:highlight w:val="none"/>
          <w:lang w:val="en-GB"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加强员工培训，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提高事故风险防范和污染控制能力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。</w:t>
      </w:r>
    </w:p>
    <w:p w14:paraId="2E1BCF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8.企业应按照相关要求落实监测计划。</w:t>
      </w:r>
    </w:p>
    <w:p w14:paraId="3CDF7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三、建设项目的环境影响评价文件经批准后，建设项目的性质、规模、地点、采用的生产工艺或者防治污染、防止生态破坏的措施发生重大变动的，建设单位应当重新报批建设项目的环境影响评价文件。建设项目的环境影响评价文件自批准之日起超过五年，方决定该项目开工建设的，其环境影响评价文件应当重新审核。</w:t>
      </w:r>
    </w:p>
    <w:p w14:paraId="29A93B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四、有机衔接环境影响评价与排污许可证申领。按照《排污许可管理办法》的要求，项目在启动生产设施或者在实际排污之前，申请并领取排污许可证，要将经批准的环境影响评价文件中各项环境保护措施、污染物排放清单及其他有关内容载入排污许可证，并按证排污。</w:t>
      </w:r>
    </w:p>
    <w:p w14:paraId="4034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五、项目建设要严格执行配套建设的环境保护设施与主体工程同时设计、同时施工、同时投入使用的环境保护“三同时”制度。项目竣工后，建设单位按规定程序进行环保设施竣工验收。验收合格后，项目方可正式投入运行。</w:t>
      </w:r>
    </w:p>
    <w:p w14:paraId="6FFBF5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Calibri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六、由吉林市生态环境保护综合行政执法支队龙潭大队负责按照《建设项目环境保护事中事后监督管理办法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试行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》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环发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〔2015〕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163号</w:t>
      </w:r>
      <w:r>
        <w:rPr>
          <w:rFonts w:hint="eastAsia" w:cs="仿宋_GB2312"/>
          <w:color w:val="auto"/>
          <w:kern w:val="2"/>
          <w:sz w:val="32"/>
          <w:szCs w:val="32"/>
          <w:lang w:val="en-US" w:eastAsia="zh-CN" w:bidi="ar-SA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的规定，进行本建设项目事中事后的环境监督管理工作。</w:t>
      </w:r>
    </w:p>
    <w:p w14:paraId="55BB1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DC9ED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93923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E993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吉林市生态环境局</w:t>
      </w:r>
    </w:p>
    <w:p w14:paraId="7CE16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480" w:lineRule="exact"/>
        <w:ind w:firstLine="4800" w:firstLineChars="15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cs="仿宋_GB2312"/>
          <w:sz w:val="32"/>
          <w:szCs w:val="32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cs="仿宋_GB2312"/>
          <w:sz w:val="32"/>
          <w:szCs w:val="32"/>
          <w:lang w:val="en-US" w:eastAsia="zh-CN"/>
        </w:rPr>
        <w:t>11月20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cs="仿宋_GB2312"/>
          <w:sz w:val="32"/>
          <w:szCs w:val="32"/>
          <w:lang w:val="en-US" w:eastAsia="zh-CN"/>
        </w:rPr>
        <w:t xml:space="preserve">        </w:t>
      </w:r>
    </w:p>
    <w:p w14:paraId="72D29435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p w14:paraId="38957064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tbl>
      <w:tblPr>
        <w:tblStyle w:val="14"/>
        <w:tblpPr w:vertAnchor="page" w:horzAnchor="page" w:tblpX="1627" w:tblpY="13927"/>
        <w:tblOverlap w:val="never"/>
        <w:tblW w:w="8861" w:type="dxa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0"/>
        <w:gridCol w:w="4431"/>
      </w:tblGrid>
      <w:tr w14:paraId="6A79271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Header/>
        </w:trPr>
        <w:tc>
          <w:tcPr>
            <w:tcW w:w="8861" w:type="dxa"/>
            <w:gridSpan w:val="2"/>
            <w:shd w:val="clear" w:color="auto" w:fill="auto"/>
          </w:tcPr>
          <w:p w14:paraId="65B218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left="1160" w:leftChars="100" w:hanging="840" w:hangingChars="3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抄送：吉林市生态环境保护综合行政执法支队龙潭大队</w:t>
            </w:r>
          </w:p>
        </w:tc>
      </w:tr>
      <w:tr w14:paraId="06A63D3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4430" w:type="dxa"/>
            <w:shd w:val="clear" w:color="auto" w:fill="auto"/>
          </w:tcPr>
          <w:p w14:paraId="0381C8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left="0" w:leftChars="0" w:firstLine="28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吉林市生态环境局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5715</wp:posOffset>
                      </wp:positionV>
                      <wp:extent cx="5622290" cy="0"/>
                      <wp:effectExtent l="0" t="4445" r="0" b="508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22290" cy="0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6pt;margin-top:0.45pt;height:0pt;width:442.7pt;z-index:251660288;mso-width-relative:page;mso-height-relative:page;" filled="f" stroked="t" coordsize="21600,21600" o:gfxdata="UEsDBAoAAAAAAIdO4kAAAAAAAAAAAAAAAAAEAAAAZHJzL1BLAwQUAAAACACHTuJASjzS+NAAAAAD&#10;AQAADwAAAGRycy9kb3ducmV2LnhtbE2OsU7DMBRFdyT+wXpIbNRphzSEOB2QGJCQgMDA6MavcVr7&#10;OcRuEv6e1wnGq3t17ql2i3diwjH2gRSsVxkIpDaYnjoFnx9PdwWImDQZ7QKhgh+MsKuvrypdmjDT&#10;O05N6gRDKJZagU1pKKWMrUWv4yoMSNwdwuh14jh20ox6Zrh3cpNlufS6J36wesBHi+2pOXum0Pb7&#10;sLjx6+31xRbNfMTnaYtK3d6sswcQCZf0N4aLPqtDzU77cCYTheO84aGCexBcFkWeg9hfoqwr+d+9&#10;/gVQSwMEFAAAAAgAh07iQEbxpi3iAQAAsQMAAA4AAABkcnMvZTJvRG9jLnhtbK1TzW4TMRC+I/EO&#10;lu9k07SNyiqbHhqVC4JIwANMvPauJf/J42aTl+AFkLjBiSN33obyGIy9aVrKpYfuwTuen2/8fR4v&#10;LnfWsK2MqL1r+Mlkypl0wrfadQ3/9PH61QVnmMC1YLyTDd9L5JfLly8WQ6jlzPfetDIyAnFYD6Hh&#10;fUqhrioUvbSAEx+ko6Dy0UKibeyqNsJA6NZUs+l0Xg0+tiF6IRHJuxqD/IAYnwLoldJCrry4sdKl&#10;ETVKA4koYa8D8mU5rVJSpPdKoUzMNJyYprJSE7I3ea2WC6i7CKHX4nAEeMoRHnGyoB01PUKtIAG7&#10;ifo/KKtF9OhVmghvq5FIUYRYnEwfafOhhyALF5Iaw1F0fD5Y8W67jky3DT/jzIGlC7/98vP3529/&#10;fn2l9fbHd3aWRRoC1pR75dbxsMOwjpnxTkWb/8SF7Yqw+6OwcpeYIOf5fDabvSbNxV2sui8MEdMb&#10;6S3LRsONdpkz1LB9i4maUepdSnY7f62NKfdmHBsaPj89z8hAs6hoBsi0gfig6zgD09GQixQLInqj&#10;21ydcTB2mysT2RbyaJQvE6Vu/6Tl1ivAfswroXForE70Doy2Db94WG0cgWS5RoGytfHtvuhW/HST&#10;pc1h6vKoPNyX6vuXtvwL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SjzS+NAAAAADAQAADwAAAAAA&#10;AAABACAAAAAiAAAAZHJzL2Rvd25yZXYueG1sUEsBAhQAFAAAAAgAh07iQEbxpi3iAQAAsQMAAA4A&#10;AAAAAAAAAQAgAAAAHwEAAGRycy9lMm9Eb2MueG1sUEsFBgAAAAAGAAYAWQEAAHMFAAAAAA==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4431" w:type="dxa"/>
            <w:shd w:val="clear" w:color="auto" w:fill="auto"/>
          </w:tcPr>
          <w:p w14:paraId="5D3683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520" w:lineRule="atLeast"/>
              <w:ind w:right="320" w:rightChars="10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cs="仿宋_GB2312"/>
                <w:sz w:val="28"/>
                <w:szCs w:val="28"/>
                <w:lang w:val="en-US" w:eastAsia="zh-CN"/>
              </w:rPr>
              <w:t>20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日印发</w:t>
            </w:r>
          </w:p>
        </w:tc>
      </w:tr>
    </w:tbl>
    <w:p w14:paraId="2FA14E5A">
      <w:pPr>
        <w:keepNext w:val="0"/>
        <w:keepLines w:val="0"/>
        <w:pageBreakBefore w:val="0"/>
        <w:widowControl w:val="0"/>
        <w:tabs>
          <w:tab w:val="left" w:pos="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atLeast"/>
        <w:ind w:left="0" w:leftChars="0" w:firstLine="0" w:firstLineChars="0"/>
        <w:textAlignment w:val="auto"/>
        <w:rPr>
          <w:rFonts w:hint="eastAsia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6341E7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12A87F">
                          <w:pPr>
                            <w:pStyle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12A87F">
                    <w:pPr>
                      <w:pStyle w:val="9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DD80E04"/>
    <w:multiLevelType w:val="singleLevel"/>
    <w:tmpl w:val="6DD80E04"/>
    <w:lvl w:ilvl="0" w:tentative="0">
      <w:start w:val="1"/>
      <w:numFmt w:val="bullet"/>
      <w:pStyle w:val="7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1">
    <w:nsid w:val="73E381FC"/>
    <w:multiLevelType w:val="multilevel"/>
    <w:tmpl w:val="73E381FC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993"/>
        </w:tabs>
        <w:ind w:left="993" w:firstLine="0"/>
      </w:pPr>
      <w:rPr>
        <w:rFonts w:hint="eastAsia"/>
      </w:rPr>
    </w:lvl>
    <w:lvl w:ilvl="1" w:tentative="0">
      <w:start w:val="1"/>
      <w:numFmt w:val="chineseCounting"/>
      <w:pStyle w:val="3"/>
      <w:suff w:val="nothing"/>
      <w:lvlText w:val="（%2）"/>
      <w:lvlJc w:val="left"/>
      <w:pPr>
        <w:ind w:left="993" w:firstLine="0"/>
      </w:pPr>
      <w:rPr>
        <w:rFonts w:hint="eastAsia" w:ascii="仿宋" w:hAnsi="仿宋" w:eastAsia="仿宋" w:cs="宋体"/>
      </w:rPr>
    </w:lvl>
    <w:lvl w:ilvl="2" w:tentative="0">
      <w:start w:val="1"/>
      <w:numFmt w:val="decimal"/>
      <w:pStyle w:val="4"/>
      <w:suff w:val="nothing"/>
      <w:lvlText w:val="%3．"/>
      <w:lvlJc w:val="left"/>
      <w:pPr>
        <w:ind w:left="993" w:firstLine="400"/>
      </w:pPr>
      <w:rPr>
        <w:rFonts w:hint="eastAsia" w:ascii="宋体" w:hAnsi="宋体" w:eastAsia="宋体" w:cs="宋体"/>
      </w:rPr>
    </w:lvl>
    <w:lvl w:ilvl="3" w:tentative="0">
      <w:start w:val="1"/>
      <w:numFmt w:val="decimal"/>
      <w:suff w:val="nothing"/>
      <w:lvlText w:val="（%4）"/>
      <w:lvlJc w:val="left"/>
      <w:pPr>
        <w:ind w:left="1017" w:firstLine="402"/>
      </w:pPr>
      <w:rPr>
        <w:rFonts w:hint="eastAsia" w:ascii="宋体" w:hAnsi="宋体" w:eastAsia="宋体" w:cs="宋体"/>
        <w:lang w:val="en-US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993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993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993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993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993" w:firstLine="402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MTIyMzMxMGUyZGRiNjRkMDExZjZjMjcxNWM0YmQifQ=="/>
  </w:docVars>
  <w:rsids>
    <w:rsidRoot w:val="535011CF"/>
    <w:rsid w:val="00312262"/>
    <w:rsid w:val="00C4676C"/>
    <w:rsid w:val="01215C29"/>
    <w:rsid w:val="0171089E"/>
    <w:rsid w:val="022A3204"/>
    <w:rsid w:val="0355494F"/>
    <w:rsid w:val="065340AE"/>
    <w:rsid w:val="07120557"/>
    <w:rsid w:val="086F4082"/>
    <w:rsid w:val="08C876F7"/>
    <w:rsid w:val="08EA2658"/>
    <w:rsid w:val="0C7236B3"/>
    <w:rsid w:val="0D4D7D0D"/>
    <w:rsid w:val="0D832131"/>
    <w:rsid w:val="0EC82610"/>
    <w:rsid w:val="0F914A2F"/>
    <w:rsid w:val="10872B54"/>
    <w:rsid w:val="116E69B0"/>
    <w:rsid w:val="12082D06"/>
    <w:rsid w:val="15D37529"/>
    <w:rsid w:val="160B1746"/>
    <w:rsid w:val="19E90FAC"/>
    <w:rsid w:val="1B3060F2"/>
    <w:rsid w:val="1B965141"/>
    <w:rsid w:val="1F196F14"/>
    <w:rsid w:val="22F4413B"/>
    <w:rsid w:val="25334FFC"/>
    <w:rsid w:val="25E3017D"/>
    <w:rsid w:val="2777171F"/>
    <w:rsid w:val="29F17A79"/>
    <w:rsid w:val="2BB44E45"/>
    <w:rsid w:val="2BEF7F49"/>
    <w:rsid w:val="2EE94141"/>
    <w:rsid w:val="320C112F"/>
    <w:rsid w:val="338A5133"/>
    <w:rsid w:val="34BD356D"/>
    <w:rsid w:val="370D111D"/>
    <w:rsid w:val="37760F37"/>
    <w:rsid w:val="380541CD"/>
    <w:rsid w:val="3971572F"/>
    <w:rsid w:val="3B164258"/>
    <w:rsid w:val="3C667DC0"/>
    <w:rsid w:val="3C9E0055"/>
    <w:rsid w:val="3EC15C04"/>
    <w:rsid w:val="436A288B"/>
    <w:rsid w:val="47A11AC2"/>
    <w:rsid w:val="47B02837"/>
    <w:rsid w:val="49881965"/>
    <w:rsid w:val="4A797DE0"/>
    <w:rsid w:val="4F9C7D11"/>
    <w:rsid w:val="4FC43F49"/>
    <w:rsid w:val="514D4569"/>
    <w:rsid w:val="52FA1521"/>
    <w:rsid w:val="53201A8B"/>
    <w:rsid w:val="535011CF"/>
    <w:rsid w:val="55BD645A"/>
    <w:rsid w:val="56EE7B37"/>
    <w:rsid w:val="57272086"/>
    <w:rsid w:val="57582925"/>
    <w:rsid w:val="58BD2D25"/>
    <w:rsid w:val="5E1A0B49"/>
    <w:rsid w:val="644F33ED"/>
    <w:rsid w:val="66095259"/>
    <w:rsid w:val="66783A5F"/>
    <w:rsid w:val="685B4774"/>
    <w:rsid w:val="6A524E2D"/>
    <w:rsid w:val="6AA904D9"/>
    <w:rsid w:val="6EFB604C"/>
    <w:rsid w:val="70886160"/>
    <w:rsid w:val="710B4386"/>
    <w:rsid w:val="71E3174B"/>
    <w:rsid w:val="73F12BC9"/>
    <w:rsid w:val="77E77D4F"/>
    <w:rsid w:val="79BB1835"/>
    <w:rsid w:val="7C1B42AF"/>
    <w:rsid w:val="7C213AB6"/>
    <w:rsid w:val="7C9E2D9B"/>
    <w:rsid w:val="7C9F0813"/>
    <w:rsid w:val="7D1363DA"/>
    <w:rsid w:val="7EF57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qFormat="1"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6" w:lineRule="exact"/>
      <w:ind w:firstLine="60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numPr>
        <w:ilvl w:val="0"/>
        <w:numId w:val="1"/>
      </w:numPr>
      <w:tabs>
        <w:tab w:val="left" w:pos="0"/>
      </w:tabs>
      <w:spacing w:line="360" w:lineRule="auto"/>
      <w:jc w:val="center"/>
      <w:outlineLvl w:val="0"/>
    </w:pPr>
    <w:rPr>
      <w:rFonts w:ascii="Calibri" w:hAnsi="Calibri" w:eastAsia="宋体"/>
      <w:b/>
      <w:kern w:val="44"/>
      <w:sz w:val="44"/>
    </w:rPr>
  </w:style>
  <w:style w:type="paragraph" w:styleId="3">
    <w:name w:val="heading 2"/>
    <w:basedOn w:val="1"/>
    <w:next w:val="1"/>
    <w:link w:val="16"/>
    <w:semiHidden/>
    <w:unhideWhenUsed/>
    <w:qFormat/>
    <w:uiPriority w:val="0"/>
    <w:pPr>
      <w:keepNext/>
      <w:keepLines/>
      <w:numPr>
        <w:ilvl w:val="1"/>
        <w:numId w:val="1"/>
      </w:numPr>
      <w:spacing w:before="260" w:after="260" w:line="412" w:lineRule="auto"/>
      <w:ind w:left="993"/>
      <w:jc w:val="left"/>
      <w:outlineLvl w:val="1"/>
    </w:pPr>
    <w:rPr>
      <w:rFonts w:ascii="Arial" w:hAnsi="Arial" w:eastAsia="宋体" w:cs="Times New Roman"/>
      <w:b/>
      <w:bCs/>
      <w:sz w:val="28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numPr>
        <w:ilvl w:val="2"/>
        <w:numId w:val="1"/>
      </w:numPr>
      <w:spacing w:before="260" w:beforeLines="0" w:beforeAutospacing="0" w:after="260" w:afterLines="0" w:afterAutospacing="0" w:line="413" w:lineRule="auto"/>
      <w:ind w:left="993" w:firstLine="400"/>
      <w:outlineLvl w:val="2"/>
    </w:pPr>
    <w:rPr>
      <w:b/>
      <w:sz w:val="32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next w:val="7"/>
    <w:qFormat/>
    <w:uiPriority w:val="0"/>
    <w:rPr>
      <w:sz w:val="28"/>
    </w:rPr>
  </w:style>
  <w:style w:type="paragraph" w:styleId="7">
    <w:name w:val="List Bullet 5"/>
    <w:basedOn w:val="1"/>
    <w:qFormat/>
    <w:uiPriority w:val="0"/>
    <w:pPr>
      <w:numPr>
        <w:ilvl w:val="0"/>
        <w:numId w:val="2"/>
      </w:numPr>
    </w:pPr>
  </w:style>
  <w:style w:type="paragraph" w:styleId="8">
    <w:name w:val="Date"/>
    <w:basedOn w:val="1"/>
    <w:next w:val="1"/>
    <w:qFormat/>
    <w:uiPriority w:val="0"/>
    <w:pPr>
      <w:ind w:leftChars="2500"/>
    </w:pPr>
    <w:rPr>
      <w:rFonts w:eastAsia="仿宋_GB2312"/>
      <w:sz w:val="32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table" w:styleId="14">
    <w:name w:val="Table Grid"/>
    <w:basedOn w:val="13"/>
    <w:qFormat/>
    <w:uiPriority w:val="39"/>
    <w:rPr>
      <w:rFonts w:ascii="Times New Roman" w:hAnsi="Times New Roman" w:eastAsia="宋体"/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57" w:type="dxa"/>
        <w:bottom w:w="57" w:type="dxa"/>
      </w:tblCellMar>
    </w:tblPr>
    <w:tblStylePr w:type="firstRow">
      <w:tblPr/>
      <w:trPr>
        <w:tblHeader/>
      </w:trPr>
      <w:tcPr>
        <w:shd w:val="clear" w:color="auto" w:fill="D8D8D8" w:themeFill="background1" w:themeFillShade="D9"/>
      </w:tcPr>
    </w:tblStylePr>
  </w:style>
  <w:style w:type="character" w:customStyle="1" w:styleId="16">
    <w:name w:val="标题 2 Char"/>
    <w:link w:val="3"/>
    <w:qFormat/>
    <w:locked/>
    <w:uiPriority w:val="99"/>
    <w:rPr>
      <w:rFonts w:ascii="Arial" w:hAnsi="Arial" w:eastAsia="宋体" w:cs="Times New Roman"/>
      <w:b/>
      <w:bCs/>
      <w:sz w:val="28"/>
      <w:szCs w:val="32"/>
    </w:rPr>
  </w:style>
  <w:style w:type="character" w:customStyle="1" w:styleId="17">
    <w:name w:val="标题 1 Char"/>
    <w:link w:val="2"/>
    <w:qFormat/>
    <w:locked/>
    <w:uiPriority w:val="99"/>
    <w:rPr>
      <w:rFonts w:ascii="Calibri" w:hAnsi="Calibri" w:eastAsia="宋体"/>
      <w:b/>
      <w:kern w:val="44"/>
      <w:sz w:val="44"/>
      <w:szCs w:val="24"/>
      <w:lang w:bidi="ar-SA"/>
    </w:rPr>
  </w:style>
  <w:style w:type="paragraph" w:customStyle="1" w:styleId="18">
    <w:name w:val="Default"/>
    <w:basedOn w:val="1"/>
    <w:qFormat/>
    <w:uiPriority w:val="0"/>
    <w:pPr>
      <w:autoSpaceDE w:val="0"/>
      <w:autoSpaceDN w:val="0"/>
      <w:jc w:val="left"/>
    </w:pPr>
    <w:rPr>
      <w:rFonts w:hint="eastAsia" w:ascii="宋体" w:eastAsia="宋体" w:cs="Times New Roman"/>
      <w:color w:val="000000"/>
      <w:kern w:val="0"/>
      <w:sz w:val="24"/>
    </w:rPr>
  </w:style>
  <w:style w:type="paragraph" w:customStyle="1" w:styleId="19">
    <w:name w:val="曹1.1"/>
    <w:basedOn w:val="1"/>
    <w:qFormat/>
    <w:uiPriority w:val="0"/>
    <w:pPr>
      <w:spacing w:line="360" w:lineRule="auto"/>
    </w:pPr>
    <w:rPr>
      <w:b/>
      <w:sz w:val="24"/>
    </w:rPr>
  </w:style>
  <w:style w:type="paragraph" w:customStyle="1" w:styleId="20">
    <w:name w:val="样式 正文11 + 首行缩进:  2 字符"/>
    <w:basedOn w:val="1"/>
    <w:qFormat/>
    <w:uiPriority w:val="0"/>
    <w:pPr>
      <w:spacing w:line="500" w:lineRule="exact"/>
      <w:ind w:firstLine="560" w:firstLineChars="200"/>
    </w:pPr>
    <w:rPr>
      <w:rFonts w:ascii="宋体" w:hAnsi="宋体" w:cs="宋体"/>
      <w:color w:val="FF0000"/>
      <w:sz w:val="28"/>
      <w:szCs w:val="20"/>
    </w:rPr>
  </w:style>
  <w:style w:type="paragraph" w:customStyle="1" w:styleId="21">
    <w:name w:val="p0"/>
    <w:basedOn w:val="1"/>
    <w:qFormat/>
    <w:uiPriority w:val="0"/>
    <w:pPr>
      <w:widowControl/>
    </w:pPr>
    <w:rPr>
      <w:rFonts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d0c854bd-bf8c-4669-8bfe-86300c4de8a3</errorID>
      <errorWord>期</errorWord>
      <group>L1_Word</group>
      <groupName>字词问题</groupName>
      <ability>L2_Typo</ability>
      <abilityName>字词错误</abilityName>
      <candidateList>
        <item>期间</item>
      </candidateList>
      <explain>〈名〉某个时期里面：农忙～｜春节～｜抗战～。</explain>
      <paraID>1EF78CC1</paraID>
      <start>14</start>
      <end>15</end>
      <status>ignored</status>
      <modifiedWord/>
      <trackRevisions>false</trackRevisions>
    </reviewItem>
    <reviewItem>
      <errorID>f96039ec-0848-4b3d-8bb5-0e92e8a907ac</errorID>
      <errorWord>［2015］</errorWord>
      <group>L1_Punc</group>
      <groupName>标点问题</groupName>
      <ability>L2_Punc</ability>
      <abilityName>标点符号检查</abilityName>
      <candidateList>
        <item>〔2015〕</item>
      </candidateList>
      <explain/>
      <paraID>6FFBF521</paraID>
      <start>55</start>
      <end>61</end>
      <status>modified</status>
      <modifiedWord>〔2015〕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5f6351-8ece-4353-9dff-42f8560dd9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2292</Words>
  <Characters>2441</Characters>
  <Lines>0</Lines>
  <Paragraphs>0</Paragraphs>
  <TotalTime>269</TotalTime>
  <ScaleCrop>false</ScaleCrop>
  <LinksUpToDate>false</LinksUpToDate>
  <CharactersWithSpaces>2488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2022-08-19T03:38:00Z</dcterms:created>
  <dc:creator>优印图文1</dc:creator>
  <cp:lastModifiedBy>W琪</cp:lastModifiedBy>
  <cp:lastPrinted>2023-04-20T01:23:00Z</cp:lastPrinted>
  <dcterms:modified xsi:type="dcterms:W3CDTF">2025-11-19T05:31:39Z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4486F42128FF468989906764FB11ADE7</vt:lpwstr>
  </property>
  <property fmtid="{D5CDD505-2E9C-101B-9397-08002B2CF9AE}" pid="4" name="KSOTemplateDocerSaveRecord">
    <vt:lpwstr>eyJoZGlkIjoiMDc5MzViOWI5ODMxNmU1MjFmZjY5NjVlZTE5M2Q2YjUiLCJ1c2VySWQiOiIzNDEzNjc4NTYifQ==</vt:lpwstr>
  </property>
</Properties>
</file>