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404E5">
      <w:pPr>
        <w:rPr>
          <w:rFonts w:hint="eastAsia" w:eastAsia="仿宋_GB2312"/>
          <w:sz w:val="32"/>
          <w:lang w:eastAsia="zh-CN"/>
        </w:rPr>
      </w:pPr>
    </w:p>
    <w:p w14:paraId="7D1CF47B">
      <w:pPr>
        <w:bidi w:val="0"/>
        <w:rPr>
          <w:rFonts w:hint="eastAsia" w:ascii="仿宋_GB2312" w:hAnsi="仿宋_GB2312" w:eastAsia="仿宋_GB2312" w:cs="Times New Roman"/>
          <w:kern w:val="2"/>
          <w:sz w:val="32"/>
          <w:szCs w:val="32"/>
          <w:lang w:val="en-US" w:eastAsia="zh-CN" w:bidi="ar-SA"/>
        </w:rPr>
      </w:pPr>
    </w:p>
    <w:p w14:paraId="50FAD7EE">
      <w:pPr>
        <w:bidi w:val="0"/>
        <w:rPr>
          <w:rFonts w:hint="eastAsia"/>
          <w:lang w:val="en-US" w:eastAsia="zh-CN"/>
        </w:rPr>
      </w:pPr>
    </w:p>
    <w:p w14:paraId="31B16F0C">
      <w:pPr>
        <w:bidi w:val="0"/>
        <w:rPr>
          <w:rFonts w:hint="eastAsia"/>
          <w:lang w:val="en-US" w:eastAsia="zh-CN"/>
        </w:rPr>
      </w:pPr>
    </w:p>
    <w:p w14:paraId="1FFC187C">
      <w:pPr>
        <w:bidi w:val="0"/>
        <w:rPr>
          <w:rFonts w:hint="eastAsia"/>
          <w:lang w:val="en-US" w:eastAsia="zh-CN"/>
        </w:rPr>
      </w:pPr>
    </w:p>
    <w:p w14:paraId="59A4067D">
      <w:pPr>
        <w:bidi w:val="0"/>
        <w:rPr>
          <w:rFonts w:hint="eastAsia"/>
          <w:lang w:val="en-US" w:eastAsia="zh-CN"/>
        </w:rPr>
      </w:pPr>
    </w:p>
    <w:p w14:paraId="069DF23D">
      <w:pPr>
        <w:bidi w:val="0"/>
        <w:rPr>
          <w:rFonts w:hint="eastAsia"/>
          <w:lang w:val="en-US" w:eastAsia="zh-CN"/>
        </w:rPr>
      </w:pPr>
    </w:p>
    <w:p w14:paraId="44399460">
      <w:pPr>
        <w:bidi w:val="0"/>
        <w:ind w:left="0" w:leftChars="0" w:firstLine="0" w:firstLineChars="0"/>
        <w:jc w:val="center"/>
        <w:rPr>
          <w:rFonts w:hint="eastAsia" w:ascii="仿宋_GB2312" w:hAnsi="仿宋_GB2312" w:eastAsia="仿宋_GB2312" w:cs="仿宋_GB2312"/>
          <w:spacing w:val="-20"/>
          <w:sz w:val="32"/>
          <w:szCs w:val="32"/>
        </w:rPr>
      </w:pPr>
    </w:p>
    <w:p w14:paraId="2402A13D">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25</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14</w:t>
      </w:r>
      <w:r>
        <w:rPr>
          <w:rFonts w:hint="eastAsia" w:ascii="仿宋_GB2312" w:hAnsi="仿宋_GB2312" w:eastAsia="仿宋_GB2312" w:cs="仿宋_GB2312"/>
          <w:spacing w:val="-20"/>
          <w:sz w:val="32"/>
          <w:szCs w:val="32"/>
        </w:rPr>
        <w:t>号</w:t>
      </w:r>
    </w:p>
    <w:p w14:paraId="3F48B568">
      <w:pPr>
        <w:bidi w:val="0"/>
        <w:ind w:left="0" w:leftChars="0" w:firstLine="0" w:firstLineChars="0"/>
        <w:jc w:val="both"/>
        <w:rPr>
          <w:rFonts w:hint="eastAsia" w:ascii="仿宋_GB2312" w:hAnsi="仿宋_GB2312" w:eastAsia="仿宋_GB2312" w:cs="仿宋_GB2312"/>
          <w:spacing w:val="-20"/>
          <w:sz w:val="32"/>
          <w:szCs w:val="32"/>
        </w:rPr>
      </w:pPr>
    </w:p>
    <w:p w14:paraId="277EA565">
      <w:pPr>
        <w:keepNext w:val="0"/>
        <w:keepLines w:val="0"/>
        <w:pageBreakBefore w:val="0"/>
        <w:widowControl w:val="0"/>
        <w:kinsoku/>
        <w:wordWrap/>
        <w:overflowPunct/>
        <w:topLinePunct w:val="0"/>
        <w:autoSpaceDE/>
        <w:autoSpaceDN/>
        <w:bidi w:val="0"/>
        <w:adjustRightInd/>
        <w:snapToGrid/>
        <w:spacing w:after="100" w:afterAutospacing="1" w:line="720" w:lineRule="exact"/>
        <w:ind w:left="0" w:leftChars="0" w:firstLine="0" w:firstLineChars="0"/>
        <w:jc w:val="center"/>
        <w:textAlignment w:val="auto"/>
        <w:rPr>
          <w:rFonts w:hint="eastAsia" w:ascii="方正小标宋简体" w:hAnsi="方正小标宋简体" w:eastAsia="方正小标宋简体" w:cs="方正小标宋简体"/>
          <w:b w:val="0"/>
          <w:bCs/>
          <w:kern w:val="2"/>
          <w:sz w:val="44"/>
          <w:szCs w:val="44"/>
          <w:lang w:val="en-US" w:eastAsia="zh-CN" w:bidi="ar-SA"/>
        </w:rPr>
      </w:pPr>
      <w:r>
        <w:rPr>
          <w:rFonts w:hint="eastAsia" w:ascii="方正小标宋简体" w:hAnsi="方正小标宋简体" w:eastAsia="方正小标宋简体" w:cs="方正小标宋简体"/>
          <w:b w:val="0"/>
          <w:bCs w:val="0"/>
          <w:w w:val="90"/>
          <w:sz w:val="44"/>
          <w:szCs w:val="44"/>
        </w:rPr>
        <w:t>关于</w:t>
      </w:r>
      <w:r>
        <w:rPr>
          <w:rFonts w:hint="eastAsia" w:ascii="方正小标宋简体" w:hAnsi="方正小标宋简体" w:eastAsia="方正小标宋简体" w:cs="方正小标宋简体"/>
          <w:b w:val="0"/>
          <w:bCs w:val="0"/>
          <w:w w:val="90"/>
          <w:sz w:val="44"/>
          <w:szCs w:val="44"/>
          <w:lang w:eastAsia="zh-CN"/>
        </w:rPr>
        <w:t>吉林玲润粮食有限公司粮食烘干建设项目</w:t>
      </w:r>
      <w:r>
        <w:rPr>
          <w:rFonts w:hint="eastAsia" w:ascii="方正小标宋简体" w:hAnsi="方正小标宋简体" w:eastAsia="方正小标宋简体" w:cs="方正小标宋简体"/>
          <w:b w:val="0"/>
          <w:bCs w:val="0"/>
          <w:w w:val="90"/>
          <w:sz w:val="44"/>
          <w:szCs w:val="44"/>
          <w:lang w:val="en-US" w:eastAsia="zh-CN"/>
        </w:rPr>
        <w:t xml:space="preserve"> </w:t>
      </w:r>
      <w:r>
        <w:rPr>
          <w:rFonts w:hint="eastAsia" w:ascii="方正小标宋简体" w:hAnsi="方正小标宋简体" w:eastAsia="方正小标宋简体" w:cs="方正小标宋简体"/>
          <w:b w:val="0"/>
          <w:bCs w:val="0"/>
          <w:w w:val="90"/>
          <w:sz w:val="44"/>
          <w:szCs w:val="44"/>
        </w:rPr>
        <w:t>环境影响报告表的批复</w:t>
      </w:r>
    </w:p>
    <w:p w14:paraId="3F82A4A9">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吉林玲润粮食有限公司：</w:t>
      </w:r>
    </w:p>
    <w:p w14:paraId="5027B25E">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你单位《关于对〈吉林玲润粮食有限公司粮食烘干建设项目环境影响报告表〉审查的申请》和委托吉林皓远环境科技有限公司编制的《吉林玲润粮食有限公司粮食烘干建设项目环境影响报告表》（报批版）收悉。经研究，现批复如下：　</w:t>
      </w:r>
    </w:p>
    <w:p w14:paraId="0AE71A34">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一、</w:t>
      </w:r>
      <w:r>
        <w:rPr>
          <w:rFonts w:hint="eastAsia" w:ascii="仿宋_GB2312" w:hAnsi="仿宋_GB2312" w:eastAsia="仿宋_GB2312" w:cs="仿宋_GB2312"/>
          <w:color w:val="auto"/>
          <w:kern w:val="2"/>
          <w:sz w:val="32"/>
          <w:szCs w:val="32"/>
          <w:lang w:val="en-US" w:eastAsia="zh-CN" w:bidi="ar-SA"/>
        </w:rPr>
        <w:t>吉林玲润粮食有限公司位于吉林市龙潭区江密峰镇东三家子村二社的南侧，租赁吉林市永昌米业有限公司</w:t>
      </w:r>
      <w:r>
        <w:rPr>
          <w:rFonts w:hint="eastAsia" w:cs="仿宋_GB2312"/>
          <w:color w:val="auto"/>
          <w:kern w:val="2"/>
          <w:sz w:val="32"/>
          <w:szCs w:val="32"/>
          <w:lang w:val="en-US" w:eastAsia="zh-CN" w:bidi="ar-SA"/>
        </w:rPr>
        <w:t>部分现有建构筑物及</w:t>
      </w:r>
      <w:r>
        <w:rPr>
          <w:rFonts w:hint="eastAsia" w:ascii="仿宋_GB2312" w:hAnsi="仿宋_GB2312" w:eastAsia="仿宋_GB2312" w:cs="仿宋_GB2312"/>
          <w:color w:val="auto"/>
          <w:kern w:val="2"/>
          <w:sz w:val="32"/>
          <w:szCs w:val="32"/>
          <w:lang w:val="en-US" w:eastAsia="zh-CN" w:bidi="ar-SA"/>
        </w:rPr>
        <w:t>设备，并将现有燃煤热风炉改造为燃生物质热风炉，</w:t>
      </w:r>
      <w:r>
        <w:rPr>
          <w:rFonts w:hint="eastAsia" w:cs="仿宋_GB2312"/>
          <w:color w:val="auto"/>
          <w:kern w:val="2"/>
          <w:sz w:val="32"/>
          <w:szCs w:val="32"/>
          <w:lang w:val="en-US" w:eastAsia="zh-CN" w:bidi="ar-SA"/>
        </w:rPr>
        <w:t>建成后</w:t>
      </w:r>
      <w:r>
        <w:rPr>
          <w:rFonts w:hint="eastAsia" w:ascii="仿宋_GB2312" w:hAnsi="仿宋_GB2312" w:eastAsia="仿宋_GB2312" w:cs="仿宋_GB2312"/>
          <w:color w:val="auto"/>
          <w:kern w:val="2"/>
          <w:sz w:val="32"/>
          <w:szCs w:val="32"/>
          <w:lang w:val="en-US" w:eastAsia="zh-CN" w:bidi="ar-SA"/>
        </w:rPr>
        <w:t>年烘干玉米20000t</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仓储标准化粮食10000t。</w:t>
      </w:r>
    </w:p>
    <w:p w14:paraId="21F12D6F">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主体工程：现有一台6t/h燃煤热风炉改燃生物质颗粒，更换适配燃烧器、点火及控制系统；1座处理能力3</w:t>
      </w:r>
      <w:r>
        <w:rPr>
          <w:rFonts w:hint="eastAsia" w:cs="仿宋_GB2312"/>
          <w:color w:val="auto"/>
          <w:kern w:val="2"/>
          <w:sz w:val="32"/>
          <w:szCs w:val="32"/>
          <w:highlight w:val="none"/>
          <w:lang w:val="en-US" w:eastAsia="zh-CN" w:bidi="ar-SA"/>
        </w:rPr>
        <w:t>5</w:t>
      </w:r>
      <w:r>
        <w:rPr>
          <w:rFonts w:hint="eastAsia" w:ascii="仿宋_GB2312" w:hAnsi="仿宋_GB2312" w:eastAsia="仿宋_GB2312" w:cs="仿宋_GB2312"/>
          <w:color w:val="auto"/>
          <w:kern w:val="2"/>
          <w:sz w:val="32"/>
          <w:szCs w:val="32"/>
          <w:highlight w:val="none"/>
          <w:lang w:val="en-US" w:eastAsia="zh-CN" w:bidi="ar-SA"/>
        </w:rPr>
        <w:t>0t/d顺逆流粮食烘干塔</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仓库、晾晒场、燃料/灰渣库、地秤、化验室利旧。本项目生产用热由燃生物质热风炉供给，生活供暖采用电取暖。该项目职工6人</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年工作60天，每天运行8小时，一班制，不设食宿。本项目不新增占地。项目总投资100万元，其中环保投资10万元。根据环境影响报告表评价结论和技术评估意见，严格落实环境影响报告表提出的各项环境保护和环境风险防控措施。我局原则同意建设单位按照环评报告及下述要求进行项目建设。该项目环境影响报告表（报批版）可以作为环保设计及其建成后环境管理依据。</w:t>
      </w:r>
    </w:p>
    <w:p w14:paraId="758048D1">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二、项目建设应重点做好以下工作：</w:t>
      </w:r>
    </w:p>
    <w:p w14:paraId="1EF78CC1">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en-US" w:eastAsia="zh-CN" w:bidi="ar-SA"/>
        </w:rPr>
        <w:t>加强建设期环境管理。施工期对作业场所及进出道路洒水抑尘，生活污水排入现有防渗旱厕，定期清掏做农肥。施工场地内不设施工营地。施工期设备外包装物外卖废品回收站，生活垃圾集中收集后由环卫部门清运。选用低噪声施工设备，采取有效的隔声减振措施，禁止夜间施工，控制施工期噪声符合《建筑施工场界环境噪声排放标准》（GB12523-2011）要求，将项目建设对外界环境影响降至最低。</w:t>
      </w:r>
    </w:p>
    <w:p w14:paraId="3D1F051C">
      <w:pPr>
        <w:pStyle w:val="21"/>
        <w:keepNext w:val="0"/>
        <w:keepLines w:val="0"/>
        <w:pageBreakBefore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highlight w:val="none"/>
          <w:lang w:val="en-US" w:eastAsia="zh-CN" w:bidi="ar-SA"/>
        </w:rPr>
        <w:t>2.</w:t>
      </w:r>
      <w:r>
        <w:rPr>
          <w:rFonts w:hint="eastAsia" w:ascii="仿宋_GB2312" w:hAnsi="仿宋_GB2312" w:eastAsia="仿宋_GB2312" w:cs="仿宋_GB2312"/>
          <w:color w:val="auto"/>
          <w:kern w:val="2"/>
          <w:sz w:val="32"/>
          <w:szCs w:val="32"/>
          <w:highlight w:val="none"/>
          <w:lang w:val="en-US" w:eastAsia="zh-CN" w:bidi="ar-SA"/>
        </w:rPr>
        <w:t>本项目生活污水排入防渗旱厕定期清掏做农肥，无生产废水排放。</w:t>
      </w:r>
    </w:p>
    <w:p w14:paraId="17A6E1F5">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highlight w:val="none"/>
          <w:lang w:val="en-US" w:eastAsia="zh-CN" w:bidi="ar-SA"/>
        </w:rPr>
        <w:t>3.</w:t>
      </w:r>
      <w:r>
        <w:rPr>
          <w:rFonts w:hint="eastAsia" w:ascii="仿宋_GB2312" w:hAnsi="仿宋_GB2312" w:eastAsia="仿宋_GB2312" w:cs="仿宋_GB2312"/>
          <w:color w:val="auto"/>
          <w:kern w:val="2"/>
          <w:sz w:val="32"/>
          <w:szCs w:val="32"/>
          <w:highlight w:val="none"/>
          <w:lang w:val="en-US" w:eastAsia="zh-CN" w:bidi="ar-SA"/>
        </w:rPr>
        <w:t>本项目</w:t>
      </w:r>
      <w:r>
        <w:rPr>
          <w:rFonts w:hint="eastAsia" w:ascii="仿宋_GB2312" w:hAnsi="仿宋_GB2312" w:eastAsia="仿宋_GB2312" w:cs="仿宋_GB2312"/>
          <w:color w:val="000000"/>
          <w:sz w:val="32"/>
          <w:szCs w:val="32"/>
          <w:highlight w:val="none"/>
          <w:u w:val="none" w:color="auto"/>
          <w:lang w:val="en-US" w:eastAsia="zh-CN"/>
        </w:rPr>
        <w:t>热风炉采</w:t>
      </w:r>
      <w:r>
        <w:rPr>
          <w:rFonts w:hint="eastAsia" w:ascii="仿宋_GB2312" w:hAnsi="仿宋_GB2312" w:eastAsia="仿宋_GB2312" w:cs="仿宋_GB2312"/>
          <w:color w:val="auto"/>
          <w:kern w:val="2"/>
          <w:sz w:val="32"/>
          <w:szCs w:val="32"/>
          <w:highlight w:val="none"/>
          <w:lang w:val="en-US" w:eastAsia="zh-CN" w:bidi="ar-SA"/>
        </w:rPr>
        <w:t>用低氮燃烧技术</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000000"/>
          <w:sz w:val="32"/>
          <w:szCs w:val="32"/>
          <w:highlight w:val="none"/>
          <w:u w:val="none" w:color="auto"/>
          <w:lang w:val="en-US" w:eastAsia="zh-CN"/>
        </w:rPr>
        <w:t>燃料</w:t>
      </w:r>
      <w:r>
        <w:rPr>
          <w:rFonts w:hint="eastAsia" w:cs="仿宋_GB2312"/>
          <w:color w:val="000000"/>
          <w:sz w:val="32"/>
          <w:szCs w:val="32"/>
          <w:highlight w:val="none"/>
          <w:u w:val="none" w:color="auto"/>
          <w:lang w:val="en-US" w:eastAsia="zh-CN"/>
        </w:rPr>
        <w:t>为</w:t>
      </w:r>
      <w:r>
        <w:rPr>
          <w:rFonts w:hint="eastAsia" w:ascii="仿宋_GB2312" w:hAnsi="仿宋_GB2312" w:eastAsia="仿宋_GB2312" w:cs="仿宋_GB2312"/>
          <w:color w:val="auto"/>
          <w:kern w:val="2"/>
          <w:sz w:val="32"/>
          <w:szCs w:val="32"/>
          <w:highlight w:val="none"/>
          <w:lang w:val="en-US" w:eastAsia="zh-CN" w:bidi="ar-SA"/>
        </w:rPr>
        <w:t>生物质颗粒，</w:t>
      </w:r>
      <w:r>
        <w:rPr>
          <w:rFonts w:hint="eastAsia" w:cs="仿宋_GB2312"/>
          <w:color w:val="000000"/>
          <w:sz w:val="32"/>
          <w:szCs w:val="32"/>
          <w:highlight w:val="none"/>
          <w:u w:val="none" w:color="auto"/>
          <w:lang w:val="en-US" w:eastAsia="zh-CN"/>
        </w:rPr>
        <w:t>热风炉</w:t>
      </w:r>
      <w:r>
        <w:rPr>
          <w:rFonts w:hint="eastAsia" w:ascii="仿宋_GB2312" w:hAnsi="仿宋_GB2312" w:eastAsia="仿宋_GB2312" w:cs="仿宋_GB2312"/>
          <w:color w:val="auto"/>
          <w:kern w:val="2"/>
          <w:sz w:val="32"/>
          <w:szCs w:val="32"/>
          <w:highlight w:val="none"/>
          <w:lang w:val="en-US" w:eastAsia="zh-CN" w:bidi="ar-SA"/>
        </w:rPr>
        <w:t>烟气</w:t>
      </w:r>
      <w:r>
        <w:rPr>
          <w:rFonts w:hint="eastAsia" w:ascii="仿宋_GB2312" w:hAnsi="仿宋_GB2312" w:eastAsia="仿宋_GB2312" w:cs="仿宋_GB2312"/>
          <w:color w:val="000000"/>
          <w:sz w:val="32"/>
          <w:szCs w:val="32"/>
          <w:highlight w:val="none"/>
          <w:u w:val="none" w:color="auto"/>
          <w:lang w:val="en-US" w:eastAsia="zh-CN"/>
        </w:rPr>
        <w:t>经布袋除尘器处理后由</w:t>
      </w:r>
      <w:r>
        <w:rPr>
          <w:rFonts w:hint="eastAsia" w:ascii="仿宋_GB2312" w:hAnsi="仿宋_GB2312" w:eastAsia="仿宋_GB2312" w:cs="仿宋_GB2312"/>
          <w:color w:val="auto"/>
          <w:kern w:val="2"/>
          <w:sz w:val="32"/>
          <w:szCs w:val="32"/>
          <w:highlight w:val="none"/>
          <w:lang w:val="en-US" w:eastAsia="zh-CN" w:bidi="ar-SA"/>
        </w:rPr>
        <w:t>18m高烟囱排放</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输送带</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提升机</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筛分</w:t>
      </w:r>
      <w:r>
        <w:rPr>
          <w:rFonts w:hint="eastAsia" w:cs="仿宋_GB2312"/>
          <w:color w:val="auto"/>
          <w:kern w:val="2"/>
          <w:sz w:val="32"/>
          <w:szCs w:val="32"/>
          <w:highlight w:val="none"/>
          <w:lang w:val="en-US" w:eastAsia="zh-CN" w:bidi="ar-SA"/>
        </w:rPr>
        <w:t>机、</w:t>
      </w:r>
      <w:r>
        <w:rPr>
          <w:rFonts w:hint="eastAsia" w:ascii="仿宋_GB2312" w:hAnsi="仿宋_GB2312" w:eastAsia="仿宋_GB2312" w:cs="仿宋_GB2312"/>
          <w:color w:val="auto"/>
          <w:kern w:val="2"/>
          <w:sz w:val="32"/>
          <w:szCs w:val="32"/>
          <w:highlight w:val="none"/>
          <w:lang w:val="en-US" w:eastAsia="zh-CN" w:bidi="ar-SA"/>
        </w:rPr>
        <w:t>烘干塔</w:t>
      </w:r>
      <w:r>
        <w:rPr>
          <w:rFonts w:hint="eastAsia" w:cs="仿宋_GB2312"/>
          <w:color w:val="auto"/>
          <w:kern w:val="2"/>
          <w:sz w:val="32"/>
          <w:szCs w:val="32"/>
          <w:highlight w:val="none"/>
          <w:lang w:val="en-US" w:eastAsia="zh-CN" w:bidi="ar-SA"/>
        </w:rPr>
        <w:t>采取密闭措施</w:t>
      </w:r>
      <w:r>
        <w:rPr>
          <w:rFonts w:hint="eastAsia" w:ascii="仿宋_GB2312" w:hAnsi="仿宋_GB2312" w:eastAsia="仿宋_GB2312" w:cs="仿宋_GB2312"/>
          <w:color w:val="auto"/>
          <w:kern w:val="2"/>
          <w:sz w:val="32"/>
          <w:szCs w:val="32"/>
          <w:highlight w:val="none"/>
          <w:lang w:val="en-US" w:eastAsia="zh-CN" w:bidi="ar-SA"/>
        </w:rPr>
        <w:t>，塔顶排潮口处安装除尘网；</w:t>
      </w:r>
      <w:r>
        <w:rPr>
          <w:rFonts w:hint="eastAsia" w:cs="仿宋_GB2312"/>
          <w:color w:val="auto"/>
          <w:kern w:val="2"/>
          <w:sz w:val="32"/>
          <w:szCs w:val="32"/>
          <w:highlight w:val="none"/>
          <w:lang w:val="en-US" w:eastAsia="zh-CN" w:bidi="ar-SA"/>
        </w:rPr>
        <w:t>采用</w:t>
      </w:r>
      <w:r>
        <w:rPr>
          <w:rFonts w:hint="eastAsia" w:ascii="仿宋_GB2312" w:hAnsi="仿宋_GB2312" w:eastAsia="仿宋_GB2312" w:cs="仿宋_GB2312"/>
          <w:color w:val="auto"/>
          <w:kern w:val="2"/>
          <w:sz w:val="32"/>
          <w:szCs w:val="32"/>
          <w:highlight w:val="none"/>
          <w:lang w:val="en-US" w:eastAsia="zh-CN" w:bidi="ar-SA"/>
        </w:rPr>
        <w:t>洒水</w:t>
      </w:r>
      <w:r>
        <w:rPr>
          <w:rFonts w:hint="eastAsia" w:cs="仿宋_GB2312"/>
          <w:color w:val="auto"/>
          <w:kern w:val="2"/>
          <w:sz w:val="32"/>
          <w:szCs w:val="32"/>
          <w:highlight w:val="none"/>
          <w:lang w:val="en-US" w:eastAsia="zh-CN" w:bidi="ar-SA"/>
        </w:rPr>
        <w:t>、密闭</w:t>
      </w:r>
      <w:r>
        <w:rPr>
          <w:rFonts w:hint="eastAsia" w:ascii="仿宋_GB2312" w:hAnsi="仿宋_GB2312" w:eastAsia="仿宋_GB2312" w:cs="仿宋_GB2312"/>
          <w:color w:val="auto"/>
          <w:kern w:val="2"/>
          <w:sz w:val="32"/>
          <w:szCs w:val="32"/>
          <w:highlight w:val="none"/>
          <w:lang w:val="en-US" w:eastAsia="zh-CN" w:bidi="ar-SA"/>
        </w:rPr>
        <w:t>袋装</w:t>
      </w:r>
      <w:r>
        <w:rPr>
          <w:rFonts w:hint="eastAsia" w:cs="仿宋_GB2312"/>
          <w:color w:val="auto"/>
          <w:kern w:val="2"/>
          <w:sz w:val="32"/>
          <w:szCs w:val="32"/>
          <w:highlight w:val="none"/>
          <w:lang w:val="en-US" w:eastAsia="zh-CN" w:bidi="ar-SA"/>
        </w:rPr>
        <w:t>方式对灰渣降尘</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000000"/>
          <w:sz w:val="32"/>
          <w:szCs w:val="32"/>
          <w:highlight w:val="none"/>
          <w:u w:val="none" w:color="auto"/>
          <w:lang w:val="en-US" w:eastAsia="zh-CN"/>
        </w:rPr>
        <w:t>玉米晾晒、厂区运输、装卸、筛分、烘干、仓储以及灰渣、除尘灰装卸存放运输等过程中产生的粉尘无组织排放。加强管理，确保热风炉烟气中颗粒物、二氧</w:t>
      </w:r>
      <w:r>
        <w:rPr>
          <w:rFonts w:hint="eastAsia" w:ascii="仿宋_GB2312" w:hAnsi="仿宋_GB2312" w:eastAsia="仿宋_GB2312" w:cs="仿宋_GB2312"/>
          <w:color w:val="auto"/>
          <w:kern w:val="2"/>
          <w:sz w:val="32"/>
          <w:szCs w:val="32"/>
          <w:highlight w:val="none"/>
          <w:lang w:val="en-US" w:eastAsia="zh-CN" w:bidi="ar-SA"/>
        </w:rPr>
        <w:t>化硫、烟气黑度</w:t>
      </w:r>
      <w:r>
        <w:rPr>
          <w:rFonts w:hint="eastAsia" w:ascii="仿宋_GB2312" w:hAnsi="仿宋_GB2312" w:eastAsia="仿宋_GB2312" w:cs="仿宋_GB2312"/>
          <w:color w:val="auto"/>
          <w:kern w:val="2"/>
          <w:sz w:val="32"/>
          <w:szCs w:val="32"/>
          <w:highlight w:val="none"/>
          <w:vertAlign w:val="baseline"/>
          <w:lang w:val="en-US" w:eastAsia="zh-CN" w:bidi="ar-SA"/>
        </w:rPr>
        <w:t>排放</w:t>
      </w:r>
      <w:r>
        <w:rPr>
          <w:rFonts w:hint="eastAsia" w:ascii="仿宋_GB2312" w:hAnsi="仿宋_GB2312" w:eastAsia="仿宋_GB2312" w:cs="仿宋_GB2312"/>
          <w:color w:val="auto"/>
          <w:kern w:val="2"/>
          <w:sz w:val="32"/>
          <w:szCs w:val="32"/>
          <w:highlight w:val="none"/>
          <w:lang w:val="en-US" w:eastAsia="zh-CN" w:bidi="ar-SA"/>
        </w:rPr>
        <w:t xml:space="preserve">满足《工业炉窑大气污染物排放标准》（GB9078-1996）表2及表4中相关浓度限值，氮氧化物的排放满足《大气污染物综合排放标准》（GB16297-1996）表2中相关浓度限值；厂界无组织颗粒物排放满足《大气污染物综合排放标准》（GB16297-1996）表2无组织排放监控浓度限值。                                   </w:t>
      </w:r>
    </w:p>
    <w:p w14:paraId="47199EC6">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highlight w:val="none"/>
          <w:lang w:val="en-US" w:eastAsia="zh-CN" w:bidi="ar-SA"/>
        </w:rPr>
        <w:t>4.</w:t>
      </w:r>
      <w:r>
        <w:rPr>
          <w:rFonts w:hint="eastAsia" w:ascii="仿宋_GB2312" w:hAnsi="仿宋_GB2312" w:eastAsia="仿宋_GB2312" w:cs="仿宋_GB2312"/>
          <w:color w:val="auto"/>
          <w:kern w:val="2"/>
          <w:sz w:val="32"/>
          <w:szCs w:val="32"/>
          <w:highlight w:val="none"/>
          <w:lang w:val="en-US" w:eastAsia="zh-CN" w:bidi="ar-SA"/>
        </w:rPr>
        <w:t>合理布置生产设备，优先选购低噪声设备，</w:t>
      </w:r>
      <w:r>
        <w:rPr>
          <w:rFonts w:hint="eastAsia" w:ascii="仿宋_GB2312" w:hAnsi="仿宋_GB2312" w:eastAsia="仿宋_GB2312" w:cs="仿宋_GB2312"/>
          <w:color w:val="auto"/>
          <w:sz w:val="32"/>
          <w:szCs w:val="32"/>
          <w:highlight w:val="none"/>
        </w:rPr>
        <w:t>采取消声、隔声、减震措施</w:t>
      </w:r>
      <w:r>
        <w:rPr>
          <w:rFonts w:hint="eastAsia" w:ascii="仿宋_GB2312" w:hAnsi="仿宋_GB2312" w:eastAsia="仿宋_GB2312" w:cs="仿宋_GB2312"/>
          <w:color w:val="auto"/>
          <w:kern w:val="2"/>
          <w:sz w:val="32"/>
          <w:szCs w:val="32"/>
          <w:highlight w:val="none"/>
          <w:lang w:val="en-US" w:eastAsia="zh-CN" w:bidi="ar-SA"/>
        </w:rPr>
        <w:t>，运输车辆经过声环境敏感点时，低速平稳行驶并禁止鸣笛，确保厂界噪声符合《工业企业厂界环境噪声排放标准》（GB12348-2008）中1类声环境功能区限值。</w:t>
      </w:r>
    </w:p>
    <w:p w14:paraId="5230C74A">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cs="仿宋_GB2312"/>
          <w:color w:val="auto"/>
          <w:kern w:val="2"/>
          <w:sz w:val="32"/>
          <w:szCs w:val="32"/>
          <w:highlight w:val="none"/>
          <w:lang w:val="en-US" w:eastAsia="zh-CN" w:bidi="ar-SA"/>
        </w:rPr>
        <w:t>5.</w:t>
      </w:r>
      <w:r>
        <w:rPr>
          <w:rFonts w:hint="eastAsia" w:ascii="仿宋_GB2312" w:hAnsi="仿宋_GB2312" w:eastAsia="仿宋_GB2312" w:cs="仿宋_GB2312"/>
          <w:color w:val="auto"/>
          <w:kern w:val="2"/>
          <w:sz w:val="32"/>
          <w:szCs w:val="32"/>
          <w:highlight w:val="none"/>
          <w:lang w:val="en-US" w:eastAsia="zh-CN" w:bidi="ar-SA"/>
        </w:rPr>
        <w:t>严格按照有关规定，对固体废物实施分类处理、处置，做到“减量化、资源化、无害化”，防止产生二次污染。本项目产生的固废主要为生活垃圾、燃生物质热风炉产生的灰渣、除尘灰、降尘回收尘、废布袋以及筛分杂质。</w:t>
      </w:r>
      <w:r>
        <w:rPr>
          <w:rFonts w:hint="default" w:ascii="仿宋_GB2312" w:hAnsi="仿宋_GB2312" w:eastAsia="仿宋_GB2312" w:cs="仿宋_GB2312"/>
          <w:color w:val="auto"/>
          <w:kern w:val="2"/>
          <w:sz w:val="32"/>
          <w:szCs w:val="32"/>
          <w:highlight w:val="none"/>
          <w:lang w:val="en-US" w:eastAsia="zh-CN" w:bidi="ar-SA"/>
        </w:rPr>
        <w:t>生活垃圾</w:t>
      </w:r>
      <w:r>
        <w:rPr>
          <w:rFonts w:hint="eastAsia" w:ascii="仿宋_GB2312" w:hAnsi="仿宋_GB2312" w:eastAsia="仿宋_GB2312" w:cs="仿宋_GB2312"/>
          <w:color w:val="auto"/>
          <w:kern w:val="2"/>
          <w:sz w:val="32"/>
          <w:szCs w:val="32"/>
          <w:highlight w:val="none"/>
          <w:lang w:val="en-US" w:eastAsia="zh-CN" w:bidi="ar-SA"/>
        </w:rPr>
        <w:t>集中收集</w:t>
      </w:r>
      <w:r>
        <w:rPr>
          <w:rFonts w:hint="eastAsia"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由环卫部门统一处理</w:t>
      </w:r>
      <w:r>
        <w:rPr>
          <w:rFonts w:hint="default" w:ascii="仿宋_GB2312" w:hAnsi="仿宋_GB2312" w:eastAsia="仿宋_GB2312" w:cs="仿宋_GB2312"/>
          <w:color w:val="auto"/>
          <w:kern w:val="2"/>
          <w:sz w:val="32"/>
          <w:szCs w:val="32"/>
          <w:highlight w:val="none"/>
          <w:lang w:val="en-US" w:eastAsia="zh-CN" w:bidi="ar-SA"/>
        </w:rPr>
        <w:t>；灰渣</w:t>
      </w:r>
      <w:r>
        <w:rPr>
          <w:rFonts w:hint="eastAsia" w:cs="仿宋_GB2312"/>
          <w:color w:val="auto"/>
          <w:kern w:val="2"/>
          <w:sz w:val="32"/>
          <w:szCs w:val="32"/>
          <w:highlight w:val="none"/>
          <w:lang w:val="en-US" w:eastAsia="zh-CN" w:bidi="ar-SA"/>
        </w:rPr>
        <w:t>与</w:t>
      </w:r>
      <w:r>
        <w:rPr>
          <w:rFonts w:hint="default" w:ascii="仿宋_GB2312" w:hAnsi="仿宋_GB2312" w:eastAsia="仿宋_GB2312" w:cs="仿宋_GB2312"/>
          <w:color w:val="auto"/>
          <w:kern w:val="2"/>
          <w:sz w:val="32"/>
          <w:szCs w:val="32"/>
          <w:highlight w:val="none"/>
          <w:lang w:val="en-US" w:eastAsia="zh-CN" w:bidi="ar-SA"/>
        </w:rPr>
        <w:t>除尘灰袋装收集作为肥料外售；</w:t>
      </w:r>
      <w:r>
        <w:rPr>
          <w:rFonts w:hint="eastAsia" w:ascii="仿宋_GB2312" w:hAnsi="仿宋_GB2312" w:eastAsia="仿宋_GB2312" w:cs="仿宋_GB2312"/>
          <w:color w:val="auto"/>
          <w:kern w:val="2"/>
          <w:sz w:val="32"/>
          <w:szCs w:val="32"/>
          <w:highlight w:val="none"/>
          <w:lang w:val="en-US" w:eastAsia="zh-CN" w:bidi="ar-SA"/>
        </w:rPr>
        <w:t>降尘回收尘外售用于饲料制造；</w:t>
      </w:r>
      <w:r>
        <w:rPr>
          <w:rFonts w:hint="default" w:ascii="仿宋_GB2312" w:hAnsi="仿宋_GB2312" w:eastAsia="仿宋_GB2312" w:cs="仿宋_GB2312"/>
          <w:color w:val="auto"/>
          <w:kern w:val="2"/>
          <w:sz w:val="32"/>
          <w:szCs w:val="32"/>
          <w:highlight w:val="none"/>
          <w:lang w:val="en-US" w:eastAsia="zh-CN" w:bidi="ar-SA"/>
        </w:rPr>
        <w:t>废布袋定期委托有资</w:t>
      </w:r>
      <w:r>
        <w:rPr>
          <w:rFonts w:hint="eastAsia" w:cs="仿宋_GB2312"/>
          <w:color w:val="auto"/>
          <w:kern w:val="2"/>
          <w:sz w:val="32"/>
          <w:szCs w:val="32"/>
          <w:highlight w:val="none"/>
          <w:lang w:val="en-US" w:eastAsia="zh-CN" w:bidi="ar-SA"/>
        </w:rPr>
        <w:t>质</w:t>
      </w:r>
      <w:r>
        <w:rPr>
          <w:rFonts w:hint="default" w:ascii="仿宋_GB2312" w:hAnsi="仿宋_GB2312" w:eastAsia="仿宋_GB2312" w:cs="仿宋_GB2312"/>
          <w:color w:val="auto"/>
          <w:kern w:val="2"/>
          <w:sz w:val="32"/>
          <w:szCs w:val="32"/>
          <w:highlight w:val="none"/>
          <w:lang w:val="en-US" w:eastAsia="zh-CN" w:bidi="ar-SA"/>
        </w:rPr>
        <w:t>单位处置；</w:t>
      </w:r>
      <w:r>
        <w:rPr>
          <w:rFonts w:hint="eastAsia" w:ascii="仿宋_GB2312" w:hAnsi="仿宋_GB2312" w:eastAsia="仿宋_GB2312" w:cs="仿宋_GB2312"/>
          <w:color w:val="auto"/>
          <w:kern w:val="2"/>
          <w:sz w:val="32"/>
          <w:szCs w:val="32"/>
          <w:highlight w:val="none"/>
          <w:lang w:val="en-US" w:eastAsia="zh-CN" w:bidi="ar-SA"/>
        </w:rPr>
        <w:t>砂石土块等</w:t>
      </w:r>
      <w:r>
        <w:rPr>
          <w:rFonts w:hint="eastAsia" w:cs="仿宋_GB2312"/>
          <w:color w:val="auto"/>
          <w:kern w:val="2"/>
          <w:sz w:val="32"/>
          <w:szCs w:val="32"/>
          <w:highlight w:val="none"/>
          <w:lang w:val="en-US" w:eastAsia="zh-CN" w:bidi="ar-SA"/>
        </w:rPr>
        <w:t>筛分</w:t>
      </w:r>
      <w:r>
        <w:rPr>
          <w:rFonts w:hint="eastAsia" w:ascii="仿宋_GB2312" w:hAnsi="仿宋_GB2312" w:eastAsia="仿宋_GB2312" w:cs="仿宋_GB2312"/>
          <w:color w:val="auto"/>
          <w:kern w:val="2"/>
          <w:sz w:val="32"/>
          <w:szCs w:val="32"/>
          <w:highlight w:val="none"/>
          <w:lang w:val="en-US" w:eastAsia="zh-CN" w:bidi="ar-SA"/>
        </w:rPr>
        <w:t>杂质外售综合利用。</w:t>
      </w:r>
    </w:p>
    <w:p w14:paraId="62064D11">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6.</w:t>
      </w:r>
      <w:r>
        <w:rPr>
          <w:rFonts w:hint="eastAsia" w:ascii="仿宋_GB2312" w:hAnsi="仿宋_GB2312" w:eastAsia="仿宋_GB2312" w:cs="仿宋_GB2312"/>
          <w:color w:val="auto"/>
          <w:kern w:val="2"/>
          <w:sz w:val="32"/>
          <w:szCs w:val="32"/>
          <w:lang w:val="en-US" w:eastAsia="zh-CN" w:bidi="ar-SA"/>
        </w:rPr>
        <w:t>严格落实环评报告表中的风险防范和应急措施</w:t>
      </w:r>
      <w:r>
        <w:rPr>
          <w:rFonts w:hint="eastAsia" w:cs="仿宋_GB2312"/>
          <w:color w:val="auto"/>
          <w:kern w:val="2"/>
          <w:sz w:val="32"/>
          <w:szCs w:val="32"/>
          <w:lang w:val="en-US" w:eastAsia="zh-CN" w:bidi="ar-SA"/>
        </w:rPr>
        <w:t>，定期培训员工</w:t>
      </w:r>
      <w:r>
        <w:rPr>
          <w:rFonts w:hint="eastAsia" w:ascii="仿宋_GB2312" w:hAnsi="仿宋_GB2312" w:eastAsia="仿宋_GB2312" w:cs="仿宋_GB2312"/>
          <w:color w:val="auto"/>
          <w:kern w:val="2"/>
          <w:sz w:val="32"/>
          <w:szCs w:val="32"/>
          <w:lang w:val="en-US" w:eastAsia="zh-CN" w:bidi="ar-SA"/>
        </w:rPr>
        <w:t>，设置火灾报警装置，提高事故风险防范和污染控制能力。</w:t>
      </w:r>
    </w:p>
    <w:p w14:paraId="2E1BCF8B">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7.</w:t>
      </w:r>
      <w:r>
        <w:rPr>
          <w:rFonts w:hint="eastAsia" w:ascii="仿宋_GB2312" w:hAnsi="仿宋_GB2312" w:eastAsia="仿宋_GB2312" w:cs="仿宋_GB2312"/>
          <w:color w:val="auto"/>
          <w:kern w:val="2"/>
          <w:sz w:val="32"/>
          <w:szCs w:val="32"/>
          <w:lang w:val="en-US" w:eastAsia="zh-CN" w:bidi="ar-SA"/>
        </w:rPr>
        <w:t>企业应按照相关要求落实监测计划。</w:t>
      </w:r>
    </w:p>
    <w:p w14:paraId="3CDF7189">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29A93B6D">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4034BEFB">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6FFBF521">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六、由吉林市生态环境保护综合行政执法支队龙潭大队负责按照《建设项目环境保护事中事后监督管理办法</w:t>
      </w:r>
      <w:r>
        <w:rPr>
          <w:rFonts w:hint="eastAsia" w:hAnsi="Calibri" w:cs="Times New Roman"/>
          <w:color w:val="auto"/>
          <w:kern w:val="2"/>
          <w:sz w:val="32"/>
          <w:szCs w:val="32"/>
          <w:lang w:val="en-US" w:eastAsia="zh-CN" w:bidi="ar-SA"/>
        </w:rPr>
        <w:t>（</w:t>
      </w:r>
      <w:r>
        <w:rPr>
          <w:rFonts w:hint="eastAsia" w:ascii="仿宋_GB2312" w:hAnsi="Calibri" w:eastAsia="仿宋_GB2312" w:cs="Times New Roman"/>
          <w:color w:val="auto"/>
          <w:kern w:val="2"/>
          <w:sz w:val="32"/>
          <w:szCs w:val="32"/>
          <w:lang w:val="en-US" w:eastAsia="zh-CN" w:bidi="ar-SA"/>
        </w:rPr>
        <w:t>试行</w:t>
      </w:r>
      <w:r>
        <w:rPr>
          <w:rFonts w:hint="eastAsia" w:hAnsi="Calibri" w:cs="Times New Roman"/>
          <w:color w:val="auto"/>
          <w:kern w:val="2"/>
          <w:sz w:val="32"/>
          <w:szCs w:val="32"/>
          <w:lang w:val="en-US" w:eastAsia="zh-CN" w:bidi="ar-SA"/>
        </w:rPr>
        <w:t>）</w:t>
      </w:r>
      <w:r>
        <w:rPr>
          <w:rFonts w:hint="eastAsia" w:ascii="仿宋_GB2312" w:hAnsi="Calibri" w:eastAsia="仿宋_GB2312" w:cs="Times New Roman"/>
          <w:color w:val="auto"/>
          <w:kern w:val="2"/>
          <w:sz w:val="32"/>
          <w:szCs w:val="32"/>
          <w:lang w:val="en-US" w:eastAsia="zh-CN" w:bidi="ar-SA"/>
        </w:rPr>
        <w:t>》</w:t>
      </w:r>
      <w:r>
        <w:rPr>
          <w:rFonts w:hint="eastAsia" w:hAnsi="Calibri" w:cs="Times New Roman"/>
          <w:color w:val="auto"/>
          <w:kern w:val="2"/>
          <w:sz w:val="32"/>
          <w:szCs w:val="32"/>
          <w:lang w:val="en-US" w:eastAsia="zh-CN" w:bidi="ar-SA"/>
        </w:rPr>
        <w:t>（</w:t>
      </w:r>
      <w:r>
        <w:rPr>
          <w:rFonts w:hint="eastAsia" w:ascii="仿宋_GB2312" w:hAnsi="Calibri" w:eastAsia="仿宋_GB2312" w:cs="Times New Roman"/>
          <w:color w:val="auto"/>
          <w:kern w:val="2"/>
          <w:sz w:val="32"/>
          <w:szCs w:val="32"/>
          <w:lang w:val="en-US" w:eastAsia="zh-CN" w:bidi="ar-SA"/>
        </w:rPr>
        <w:t>环发</w:t>
      </w:r>
      <w:r>
        <w:rPr>
          <w:rFonts w:hint="eastAsia" w:hAnsi="Calibri" w:cs="Times New Roman"/>
          <w:color w:val="auto"/>
          <w:kern w:val="2"/>
          <w:sz w:val="32"/>
          <w:szCs w:val="32"/>
          <w:lang w:val="en-US" w:eastAsia="zh-CN" w:bidi="ar-SA"/>
        </w:rPr>
        <w:t>〔2015〕</w:t>
      </w:r>
      <w:r>
        <w:rPr>
          <w:rFonts w:hint="eastAsia" w:ascii="仿宋_GB2312" w:hAnsi="Calibri" w:eastAsia="仿宋_GB2312" w:cs="Times New Roman"/>
          <w:color w:val="auto"/>
          <w:kern w:val="2"/>
          <w:sz w:val="32"/>
          <w:szCs w:val="32"/>
          <w:lang w:val="en-US" w:eastAsia="zh-CN" w:bidi="ar-SA"/>
        </w:rPr>
        <w:t>163号</w:t>
      </w:r>
      <w:r>
        <w:rPr>
          <w:rFonts w:hint="eastAsia" w:hAnsi="Calibri" w:cs="Times New Roman"/>
          <w:color w:val="auto"/>
          <w:kern w:val="2"/>
          <w:sz w:val="32"/>
          <w:szCs w:val="32"/>
          <w:lang w:val="en-US" w:eastAsia="zh-CN" w:bidi="ar-SA"/>
        </w:rPr>
        <w:t>）</w:t>
      </w:r>
      <w:r>
        <w:rPr>
          <w:rFonts w:hint="eastAsia" w:ascii="仿宋_GB2312" w:hAnsi="Calibri" w:eastAsia="仿宋_GB2312" w:cs="Times New Roman"/>
          <w:color w:val="auto"/>
          <w:kern w:val="2"/>
          <w:sz w:val="32"/>
          <w:szCs w:val="32"/>
          <w:lang w:val="en-US" w:eastAsia="zh-CN" w:bidi="ar-SA"/>
        </w:rPr>
        <w:t>的规定，进行本建设项目事中事后的环境监督管理工作。</w:t>
      </w:r>
    </w:p>
    <w:p w14:paraId="55BB16C4">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sz w:val="32"/>
          <w:szCs w:val="32"/>
          <w:lang w:eastAsia="zh-CN"/>
        </w:rPr>
      </w:pPr>
    </w:p>
    <w:p w14:paraId="221DC1EC">
      <w:pPr>
        <w:pStyle w:val="2"/>
        <w:rPr>
          <w:rFonts w:hint="eastAsia"/>
          <w:lang w:eastAsia="zh-CN"/>
        </w:rPr>
      </w:pPr>
      <w:bookmarkStart w:id="0" w:name="_GoBack"/>
      <w:bookmarkEnd w:id="0"/>
    </w:p>
    <w:p w14:paraId="793923A1">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sz w:val="32"/>
          <w:szCs w:val="32"/>
          <w:lang w:eastAsia="zh-CN"/>
        </w:rPr>
      </w:pPr>
    </w:p>
    <w:p w14:paraId="6E9933C9">
      <w:pPr>
        <w:keepNext w:val="0"/>
        <w:keepLines w:val="0"/>
        <w:pageBreakBefore w:val="0"/>
        <w:widowControl w:val="0"/>
        <w:kinsoku/>
        <w:wordWrap/>
        <w:overflowPunct/>
        <w:topLinePunct w:val="0"/>
        <w:autoSpaceDE w:val="0"/>
        <w:autoSpaceDN w:val="0"/>
        <w:bidi w:val="0"/>
        <w:adjustRightInd w:val="0"/>
        <w:snapToGrid/>
        <w:spacing w:line="48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7CE16863">
      <w:pPr>
        <w:keepNext w:val="0"/>
        <w:keepLines w:val="0"/>
        <w:pageBreakBefore w:val="0"/>
        <w:widowControl w:val="0"/>
        <w:kinsoku/>
        <w:wordWrap/>
        <w:overflowPunct/>
        <w:topLinePunct w:val="0"/>
        <w:autoSpaceDE w:val="0"/>
        <w:autoSpaceDN w:val="0"/>
        <w:bidi w:val="0"/>
        <w:adjustRightInd w:val="0"/>
        <w:snapToGrid/>
        <w:spacing w:line="48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cs="仿宋_GB2312"/>
          <w:sz w:val="32"/>
          <w:szCs w:val="32"/>
          <w:lang w:val="en-US" w:eastAsia="zh-CN"/>
        </w:rPr>
        <w:t>2025</w:t>
      </w:r>
      <w:r>
        <w:rPr>
          <w:rFonts w:hint="eastAsia" w:ascii="仿宋_GB2312" w:hAnsi="仿宋_GB2312" w:eastAsia="仿宋_GB2312" w:cs="仿宋_GB2312"/>
          <w:sz w:val="32"/>
          <w:szCs w:val="32"/>
        </w:rPr>
        <w:t>年</w:t>
      </w:r>
      <w:r>
        <w:rPr>
          <w:rFonts w:hint="eastAsia" w:cs="仿宋_GB2312"/>
          <w:sz w:val="32"/>
          <w:szCs w:val="32"/>
          <w:lang w:val="en-US" w:eastAsia="zh-CN"/>
        </w:rPr>
        <w:t>11月20</w:t>
      </w:r>
      <w:r>
        <w:rPr>
          <w:rFonts w:hint="eastAsia" w:ascii="仿宋_GB2312" w:hAnsi="仿宋_GB2312" w:eastAsia="仿宋_GB2312" w:cs="仿宋_GB2312"/>
          <w:sz w:val="32"/>
          <w:szCs w:val="32"/>
        </w:rPr>
        <w:t>日</w:t>
      </w:r>
      <w:r>
        <w:rPr>
          <w:rFonts w:hint="eastAsia" w:cs="仿宋_GB2312"/>
          <w:sz w:val="32"/>
          <w:szCs w:val="32"/>
          <w:lang w:val="en-US" w:eastAsia="zh-CN"/>
        </w:rPr>
        <w:t xml:space="preserve">        </w:t>
      </w:r>
    </w:p>
    <w:p w14:paraId="72D29435">
      <w:pPr>
        <w:keepNext w:val="0"/>
        <w:keepLines w:val="0"/>
        <w:pageBreakBefore w:val="0"/>
        <w:widowControl w:val="0"/>
        <w:tabs>
          <w:tab w:val="left" w:pos="540"/>
        </w:tabs>
        <w:kinsoku/>
        <w:wordWrap/>
        <w:overflowPunct/>
        <w:topLinePunct w:val="0"/>
        <w:autoSpaceDE/>
        <w:autoSpaceDN/>
        <w:bidi w:val="0"/>
        <w:adjustRightInd/>
        <w:snapToGrid/>
        <w:spacing w:line="480" w:lineRule="exact"/>
        <w:ind w:left="0" w:leftChars="0" w:firstLine="0" w:firstLineChars="0"/>
        <w:textAlignment w:val="auto"/>
        <w:rPr>
          <w:rFonts w:hint="eastAsia"/>
          <w:lang w:val="en-US" w:eastAsia="zh-CN"/>
        </w:rPr>
      </w:pPr>
    </w:p>
    <w:p w14:paraId="38957064">
      <w:pPr>
        <w:keepNext w:val="0"/>
        <w:keepLines w:val="0"/>
        <w:pageBreakBefore w:val="0"/>
        <w:widowControl w:val="0"/>
        <w:tabs>
          <w:tab w:val="left" w:pos="540"/>
        </w:tabs>
        <w:kinsoku/>
        <w:wordWrap/>
        <w:overflowPunct/>
        <w:topLinePunct w:val="0"/>
        <w:autoSpaceDE/>
        <w:autoSpaceDN/>
        <w:bidi w:val="0"/>
        <w:adjustRightInd/>
        <w:snapToGrid/>
        <w:spacing w:line="520" w:lineRule="atLeast"/>
        <w:ind w:left="0" w:leftChars="0" w:firstLine="0" w:firstLineChars="0"/>
        <w:textAlignment w:val="auto"/>
        <w:rPr>
          <w:rFonts w:hint="eastAsia"/>
          <w:lang w:val="en-US" w:eastAsia="zh-CN"/>
        </w:rPr>
      </w:pPr>
    </w:p>
    <w:tbl>
      <w:tblPr>
        <w:tblStyle w:val="14"/>
        <w:tblpPr w:vertAnchor="page" w:horzAnchor="page" w:tblpX="1627" w:tblpY="1392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6A79271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65B21893">
            <w:pPr>
              <w:keepNext w:val="0"/>
              <w:keepLines w:val="0"/>
              <w:pageBreakBefore w:val="0"/>
              <w:kinsoku/>
              <w:wordWrap/>
              <w:overflowPunct/>
              <w:topLinePunct w:val="0"/>
              <w:bidi w:val="0"/>
              <w:snapToGrid/>
              <w:spacing w:line="520" w:lineRule="atLeast"/>
              <w:ind w:left="1160" w:leftChars="100" w:hanging="840" w:hangingChars="3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抄送：吉林市生态环境保护综合行政执法支队龙潭大队</w:t>
            </w:r>
          </w:p>
        </w:tc>
      </w:tr>
      <w:tr w14:paraId="06A63D3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0381C884">
            <w:pPr>
              <w:keepNext w:val="0"/>
              <w:keepLines w:val="0"/>
              <w:pageBreakBefore w:val="0"/>
              <w:kinsoku/>
              <w:wordWrap/>
              <w:overflowPunct/>
              <w:topLinePunct w:val="0"/>
              <w:bidi w:val="0"/>
              <w:snapToGrid/>
              <w:spacing w:line="520" w:lineRule="atLeast"/>
              <w:ind w:left="0" w:leftChars="0" w:firstLine="280" w:firstLineChars="1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吉林市生态环境局</w:t>
            </w:r>
            <w:r>
              <w:rPr>
                <w:rFonts w:hint="eastAsia" w:ascii="仿宋_GB2312" w:hAnsi="仿宋_GB2312" w:eastAsia="仿宋_GB2312" w:cs="仿宋_GB2312"/>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5D368309">
            <w:pPr>
              <w:keepNext w:val="0"/>
              <w:keepLines w:val="0"/>
              <w:pageBreakBefore w:val="0"/>
              <w:kinsoku/>
              <w:wordWrap/>
              <w:overflowPunct/>
              <w:topLinePunct w:val="0"/>
              <w:bidi w:val="0"/>
              <w:snapToGrid/>
              <w:spacing w:line="520" w:lineRule="atLeast"/>
              <w:ind w:right="320" w:rightChars="1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202</w:t>
            </w:r>
            <w:r>
              <w:rPr>
                <w:rFonts w:hint="eastAsia" w:cs="仿宋_GB2312"/>
                <w:sz w:val="28"/>
                <w:szCs w:val="28"/>
                <w:lang w:val="en-US" w:eastAsia="zh-CN"/>
              </w:rPr>
              <w:t>5</w:t>
            </w:r>
            <w:r>
              <w:rPr>
                <w:rFonts w:hint="eastAsia" w:ascii="仿宋_GB2312" w:hAnsi="仿宋_GB2312" w:eastAsia="仿宋_GB2312" w:cs="仿宋_GB2312"/>
                <w:sz w:val="28"/>
                <w:szCs w:val="28"/>
              </w:rPr>
              <w:t>年</w:t>
            </w:r>
            <w:r>
              <w:rPr>
                <w:rFonts w:hint="eastAsia" w:cs="仿宋_GB2312"/>
                <w:sz w:val="28"/>
                <w:szCs w:val="28"/>
                <w:lang w:val="en-US" w:eastAsia="zh-CN"/>
              </w:rPr>
              <w:t>11</w:t>
            </w:r>
            <w:r>
              <w:rPr>
                <w:rFonts w:hint="eastAsia" w:ascii="仿宋_GB2312" w:hAnsi="仿宋_GB2312" w:eastAsia="仿宋_GB2312" w:cs="仿宋_GB2312"/>
                <w:sz w:val="28"/>
                <w:szCs w:val="28"/>
              </w:rPr>
              <w:t>月</w:t>
            </w:r>
            <w:r>
              <w:rPr>
                <w:rFonts w:hint="eastAsia" w:cs="仿宋_GB2312"/>
                <w:sz w:val="28"/>
                <w:szCs w:val="28"/>
                <w:lang w:val="en-US" w:eastAsia="zh-CN"/>
              </w:rPr>
              <w:t>20</w:t>
            </w:r>
            <w:r>
              <w:rPr>
                <w:rFonts w:hint="eastAsia" w:ascii="仿宋_GB2312" w:hAnsi="仿宋_GB2312" w:eastAsia="仿宋_GB2312" w:cs="仿宋_GB2312"/>
                <w:sz w:val="28"/>
                <w:szCs w:val="28"/>
              </w:rPr>
              <w:t>日印发</w:t>
            </w:r>
          </w:p>
        </w:tc>
      </w:tr>
    </w:tbl>
    <w:p w14:paraId="2FA14E5A">
      <w:pPr>
        <w:keepNext w:val="0"/>
        <w:keepLines w:val="0"/>
        <w:pageBreakBefore w:val="0"/>
        <w:widowControl w:val="0"/>
        <w:tabs>
          <w:tab w:val="left" w:pos="540"/>
        </w:tabs>
        <w:kinsoku/>
        <w:wordWrap/>
        <w:overflowPunct/>
        <w:topLinePunct w:val="0"/>
        <w:autoSpaceDE/>
        <w:autoSpaceDN/>
        <w:bidi w:val="0"/>
        <w:adjustRightInd/>
        <w:snapToGrid/>
        <w:spacing w:line="520" w:lineRule="atLeast"/>
        <w:ind w:left="0" w:leftChars="0" w:firstLine="0" w:firstLineChars="0"/>
        <w:textAlignment w:val="auto"/>
        <w:rPr>
          <w:rFonts w:hint="eastAsia"/>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341E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12A87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A12A87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D80E04"/>
    <w:multiLevelType w:val="singleLevel"/>
    <w:tmpl w:val="6DD80E04"/>
    <w:lvl w:ilvl="0" w:tentative="0">
      <w:start w:val="1"/>
      <w:numFmt w:val="bullet"/>
      <w:pStyle w:val="8"/>
      <w:lvlText w:val=""/>
      <w:lvlJc w:val="left"/>
      <w:pPr>
        <w:tabs>
          <w:tab w:val="left" w:pos="2040"/>
        </w:tabs>
        <w:ind w:left="2040" w:hanging="360"/>
      </w:pPr>
      <w:rPr>
        <w:rFonts w:hint="default" w:ascii="Wingdings" w:hAnsi="Wingdings"/>
      </w:rPr>
    </w:lvl>
  </w:abstractNum>
  <w:abstractNum w:abstractNumId="1">
    <w:nsid w:val="73E381FC"/>
    <w:multiLevelType w:val="multilevel"/>
    <w:tmpl w:val="73E381FC"/>
    <w:lvl w:ilvl="0" w:tentative="0">
      <w:start w:val="1"/>
      <w:numFmt w:val="chineseCounting"/>
      <w:pStyle w:val="3"/>
      <w:suff w:val="nothing"/>
      <w:lvlText w:val="%1、"/>
      <w:lvlJc w:val="left"/>
      <w:pPr>
        <w:tabs>
          <w:tab w:val="left" w:pos="993"/>
        </w:tabs>
        <w:ind w:left="993" w:firstLine="0"/>
      </w:pPr>
      <w:rPr>
        <w:rFonts w:hint="eastAsia"/>
      </w:rPr>
    </w:lvl>
    <w:lvl w:ilvl="1" w:tentative="0">
      <w:start w:val="1"/>
      <w:numFmt w:val="chineseCounting"/>
      <w:pStyle w:val="4"/>
      <w:suff w:val="nothing"/>
      <w:lvlText w:val="（%2）"/>
      <w:lvlJc w:val="left"/>
      <w:pPr>
        <w:ind w:left="993" w:firstLine="0"/>
      </w:pPr>
      <w:rPr>
        <w:rFonts w:hint="eastAsia" w:ascii="仿宋" w:hAnsi="仿宋" w:eastAsia="仿宋" w:cs="宋体"/>
      </w:rPr>
    </w:lvl>
    <w:lvl w:ilvl="2" w:tentative="0">
      <w:start w:val="1"/>
      <w:numFmt w:val="decimal"/>
      <w:pStyle w:val="5"/>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0312262"/>
    <w:rsid w:val="00C4676C"/>
    <w:rsid w:val="01215C29"/>
    <w:rsid w:val="014E6C98"/>
    <w:rsid w:val="0171089E"/>
    <w:rsid w:val="022A3204"/>
    <w:rsid w:val="0355494F"/>
    <w:rsid w:val="065340AE"/>
    <w:rsid w:val="07120557"/>
    <w:rsid w:val="086F4082"/>
    <w:rsid w:val="08C876F7"/>
    <w:rsid w:val="08EA2658"/>
    <w:rsid w:val="0C095C8A"/>
    <w:rsid w:val="0C7236B3"/>
    <w:rsid w:val="0D4D7D0D"/>
    <w:rsid w:val="0D832131"/>
    <w:rsid w:val="0EC82610"/>
    <w:rsid w:val="0F914A2F"/>
    <w:rsid w:val="10872B54"/>
    <w:rsid w:val="116E69B0"/>
    <w:rsid w:val="15D37529"/>
    <w:rsid w:val="160B1746"/>
    <w:rsid w:val="19E90FAC"/>
    <w:rsid w:val="1B3060F2"/>
    <w:rsid w:val="1F196F14"/>
    <w:rsid w:val="22F4413B"/>
    <w:rsid w:val="25334FFC"/>
    <w:rsid w:val="25E3017D"/>
    <w:rsid w:val="2777171F"/>
    <w:rsid w:val="29F17A79"/>
    <w:rsid w:val="2A0256E0"/>
    <w:rsid w:val="2BB44E45"/>
    <w:rsid w:val="2BEF7F49"/>
    <w:rsid w:val="2EE94141"/>
    <w:rsid w:val="320C112F"/>
    <w:rsid w:val="338A5133"/>
    <w:rsid w:val="34BD356D"/>
    <w:rsid w:val="380541CD"/>
    <w:rsid w:val="3971572F"/>
    <w:rsid w:val="3B164258"/>
    <w:rsid w:val="3C9E0055"/>
    <w:rsid w:val="3EC15C04"/>
    <w:rsid w:val="47A11AC2"/>
    <w:rsid w:val="47B02837"/>
    <w:rsid w:val="490B35E7"/>
    <w:rsid w:val="49881965"/>
    <w:rsid w:val="4A797DE0"/>
    <w:rsid w:val="4FC43F49"/>
    <w:rsid w:val="514D4569"/>
    <w:rsid w:val="52FA1521"/>
    <w:rsid w:val="535011CF"/>
    <w:rsid w:val="55BD645A"/>
    <w:rsid w:val="56EE7B37"/>
    <w:rsid w:val="57582925"/>
    <w:rsid w:val="58BD2D25"/>
    <w:rsid w:val="5E1A0B49"/>
    <w:rsid w:val="644F33ED"/>
    <w:rsid w:val="66095259"/>
    <w:rsid w:val="66783A5F"/>
    <w:rsid w:val="685B4774"/>
    <w:rsid w:val="6A524E2D"/>
    <w:rsid w:val="6AA904D9"/>
    <w:rsid w:val="6EFB604C"/>
    <w:rsid w:val="70886160"/>
    <w:rsid w:val="710B4386"/>
    <w:rsid w:val="71E3174B"/>
    <w:rsid w:val="73F12BC9"/>
    <w:rsid w:val="77E77D4F"/>
    <w:rsid w:val="7C1B42AF"/>
    <w:rsid w:val="7C213AB6"/>
    <w:rsid w:val="7C9F0813"/>
    <w:rsid w:val="7D136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3">
    <w:name w:val="heading 1"/>
    <w:basedOn w:val="1"/>
    <w:next w:val="1"/>
    <w:link w:val="17"/>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4">
    <w:name w:val="heading 2"/>
    <w:basedOn w:val="1"/>
    <w:next w:val="1"/>
    <w:link w:val="16"/>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5">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6">
    <w:name w:val="annotation text"/>
    <w:basedOn w:val="1"/>
    <w:qFormat/>
    <w:uiPriority w:val="0"/>
    <w:pPr>
      <w:jc w:val="left"/>
    </w:pPr>
  </w:style>
  <w:style w:type="paragraph" w:styleId="7">
    <w:name w:val="Body Text"/>
    <w:basedOn w:val="1"/>
    <w:next w:val="8"/>
    <w:qFormat/>
    <w:uiPriority w:val="0"/>
    <w:rPr>
      <w:sz w:val="28"/>
    </w:rPr>
  </w:style>
  <w:style w:type="paragraph" w:styleId="8">
    <w:name w:val="List Bullet 5"/>
    <w:basedOn w:val="1"/>
    <w:qFormat/>
    <w:uiPriority w:val="0"/>
    <w:pPr>
      <w:numPr>
        <w:ilvl w:val="0"/>
        <w:numId w:val="2"/>
      </w:numPr>
    </w:pPr>
  </w:style>
  <w:style w:type="paragraph" w:styleId="9">
    <w:name w:val="Date"/>
    <w:basedOn w:val="1"/>
    <w:next w:val="1"/>
    <w:qFormat/>
    <w:uiPriority w:val="0"/>
    <w:pPr>
      <w:ind w:leftChars="2500"/>
    </w:pPr>
    <w:rPr>
      <w:rFonts w:eastAsia="仿宋_GB2312"/>
      <w:sz w:val="3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footnote text"/>
    <w:basedOn w:val="1"/>
    <w:qFormat/>
    <w:uiPriority w:val="0"/>
    <w:pPr>
      <w:snapToGrid w:val="0"/>
      <w:jc w:val="left"/>
    </w:pPr>
    <w:rPr>
      <w:sz w:val="18"/>
    </w:rPr>
  </w:style>
  <w:style w:type="table" w:styleId="14">
    <w:name w:val="Table Grid"/>
    <w:basedOn w:val="13"/>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character" w:customStyle="1" w:styleId="16">
    <w:name w:val="标题 2 Char"/>
    <w:link w:val="4"/>
    <w:qFormat/>
    <w:locked/>
    <w:uiPriority w:val="99"/>
    <w:rPr>
      <w:rFonts w:ascii="Arial" w:hAnsi="Arial" w:eastAsia="宋体" w:cs="Times New Roman"/>
      <w:b/>
      <w:bCs/>
      <w:sz w:val="28"/>
      <w:szCs w:val="32"/>
    </w:rPr>
  </w:style>
  <w:style w:type="character" w:customStyle="1" w:styleId="17">
    <w:name w:val="标题 1 Char"/>
    <w:link w:val="3"/>
    <w:qFormat/>
    <w:locked/>
    <w:uiPriority w:val="99"/>
    <w:rPr>
      <w:rFonts w:ascii="Calibri" w:hAnsi="Calibri" w:eastAsia="宋体"/>
      <w:b/>
      <w:kern w:val="44"/>
      <w:sz w:val="44"/>
      <w:szCs w:val="24"/>
      <w:lang w:bidi="ar-SA"/>
    </w:rPr>
  </w:style>
  <w:style w:type="paragraph" w:customStyle="1" w:styleId="18">
    <w:name w:val="Default"/>
    <w:basedOn w:val="1"/>
    <w:qFormat/>
    <w:uiPriority w:val="0"/>
    <w:pPr>
      <w:autoSpaceDE w:val="0"/>
      <w:autoSpaceDN w:val="0"/>
      <w:jc w:val="left"/>
    </w:pPr>
    <w:rPr>
      <w:rFonts w:hint="eastAsia" w:ascii="宋体" w:eastAsia="宋体" w:cs="Times New Roman"/>
      <w:color w:val="000000"/>
      <w:kern w:val="0"/>
      <w:sz w:val="24"/>
    </w:rPr>
  </w:style>
  <w:style w:type="paragraph" w:customStyle="1" w:styleId="19">
    <w:name w:val="曹1.1"/>
    <w:basedOn w:val="1"/>
    <w:qFormat/>
    <w:uiPriority w:val="0"/>
    <w:pPr>
      <w:spacing w:line="360" w:lineRule="auto"/>
    </w:pPr>
    <w:rPr>
      <w:b/>
      <w:sz w:val="24"/>
    </w:rPr>
  </w:style>
  <w:style w:type="paragraph" w:customStyle="1" w:styleId="20">
    <w:name w:val="样式 正文11 + 首行缩进:  2 字符"/>
    <w:basedOn w:val="1"/>
    <w:qFormat/>
    <w:uiPriority w:val="0"/>
    <w:pPr>
      <w:spacing w:line="500" w:lineRule="exact"/>
      <w:ind w:firstLine="560" w:firstLineChars="200"/>
    </w:pPr>
    <w:rPr>
      <w:rFonts w:ascii="宋体" w:hAnsi="宋体" w:cs="宋体"/>
      <w:color w:val="FF0000"/>
      <w:sz w:val="28"/>
      <w:szCs w:val="20"/>
    </w:rPr>
  </w:style>
  <w:style w:type="paragraph" w:customStyle="1" w:styleId="21">
    <w:name w:val="p0"/>
    <w:basedOn w:val="1"/>
    <w:qFormat/>
    <w:uiPriority w:val="0"/>
    <w:pPr>
      <w:widowControl/>
    </w:pPr>
    <w:rPr>
      <w:rFonts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d39976a5-382f-40e7-ad4a-820a694c8543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1EF78CC1</paraID>
      <start>0</start>
      <end>2</end>
      <status>modified</status>
      <modifiedWord>1.</modifiedWord>
      <trackRevisions>false</trackRevisions>
    </reviewItem>
    <reviewItem>
      <errorID>111b57bc-23cb-4350-94fa-33ed39c9409a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3D1F051C</paraID>
      <start>0</start>
      <end>2</end>
      <status>modified</status>
      <modifiedWord>2.</modifiedWord>
      <trackRevisions>false</trackRevisions>
    </reviewItem>
    <reviewItem>
      <errorID>e5ca6874-b1f5-4252-88b7-3b95c72ab458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17A6E1F5</paraID>
      <start>0</start>
      <end>2</end>
      <status>modified</status>
      <modifiedWord>3.</modifiedWord>
      <trackRevisions>false</trackRevisions>
    </reviewItem>
    <reviewItem>
      <errorID>f063f4fc-7230-4c47-9d82-69c1d60b104f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47199EC6</paraID>
      <start>0</start>
      <end>2</end>
      <status>modified</status>
      <modifiedWord>4.</modifiedWord>
      <trackRevisions>false</trackRevisions>
    </reviewItem>
    <reviewItem>
      <errorID>7fb93847-f5d7-4e29-81ad-50d621ec0bec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5230C74A</paraID>
      <start>0</start>
      <end>2</end>
      <status>modified</status>
      <modifiedWord>5.</modifiedWord>
      <trackRevisions>false</trackRevisions>
    </reviewItem>
    <reviewItem>
      <errorID>83d297f7-22e7-4a38-b9e5-6cf323b6555b</errorID>
      <errorWord>,</errorWord>
      <group>L1_Format</group>
      <groupName>格式问题</groupName>
      <ability>L2_HalfPunc</ability>
      <abilityName>全半角检查</abilityName>
      <candidateList>
        <item>，</item>
      </candidateList>
      <explain>文本全半角错误。</explain>
      <paraID>5230C74A</paraID>
      <start>108</start>
      <end>109</end>
      <status>modified</status>
      <modifiedWord>，</modifiedWord>
      <trackRevisions>false</trackRevisions>
    </reviewItem>
    <reviewItem>
      <errorID>b20c4330-f6a2-464c-8752-7484e3105d6e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62064D11</paraID>
      <start>0</start>
      <end>2</end>
      <status>modified</status>
      <modifiedWord>6.</modifiedWord>
      <trackRevisions>false</trackRevisions>
    </reviewItem>
    <reviewItem>
      <errorID>c3d236c2-13b3-491f-bcc8-410f4a482f0c</errorID>
      <errorWord>(</errorWord>
      <group>L1_Format</group>
      <groupName>格式问题</groupName>
      <ability>L2_HalfPunc</ability>
      <abilityName>全半角检查</abilityName>
      <candidateList>
        <item>（</item>
      </candidateList>
      <explain>文本全半角错误。</explain>
      <paraID>6FFBF521</paraID>
      <start>47</start>
      <end>48</end>
      <status>modified</status>
      <modifiedWord>（</modifiedWord>
      <trackRevisions>false</trackRevisions>
    </reviewItem>
    <reviewItem>
      <errorID>6de94c2b-9be9-4d91-9c92-a3e381bd564d</errorID>
      <errorWord>)</errorWord>
      <group>L1_Format</group>
      <groupName>格式问题</groupName>
      <ability>L2_HalfPunc</ability>
      <abilityName>全半角检查</abilityName>
      <candidateList>
        <item>）</item>
      </candidateList>
      <explain>文本全半角错误。</explain>
      <paraID>6FFBF521</paraID>
      <start>50</start>
      <end>51</end>
      <status>modified</status>
      <modifiedWord>）</modifiedWord>
      <trackRevisions>false</trackRevisions>
    </reviewItem>
    <reviewItem>
      <errorID>3ec6dda5-f456-4ecf-bb1b-d5bf2aa9cec1</errorID>
      <errorWord>(</errorWord>
      <group>L1_Format</group>
      <groupName>格式问题</groupName>
      <ability>L2_HalfPunc</ability>
      <abilityName>全半角检查</abilityName>
      <candidateList>
        <item>（</item>
      </candidateList>
      <explain>文本全半角错误。</explain>
      <paraID>6FFBF521</paraID>
      <start>52</start>
      <end>53</end>
      <status>modified</status>
      <modifiedWord>（</modifiedWord>
      <trackRevisions>false</trackRevisions>
    </reviewItem>
    <reviewItem>
      <errorID>a11df293-60db-4277-8f22-2baf0bd14d77</errorID>
      <errorWord>［2015］</errorWord>
      <group>L1_Punc</group>
      <groupName>标点问题</groupName>
      <ability>L2_Punc</ability>
      <abilityName>标点符号检查</abilityName>
      <candidateList>
        <item>〔2015〕</item>
      </candidateList>
      <explain/>
      <paraID>6FFBF521</paraID>
      <start>55</start>
      <end>61</end>
      <status>modified</status>
      <modifiedWord>〔2015〕</modifiedWord>
      <trackRevisions>false</trackRevisions>
    </reviewItem>
    <reviewItem>
      <errorID>813c7c77-e51d-48a4-83eb-b27acbc7db16</errorID>
      <errorWord>)</errorWord>
      <group>L1_Format</group>
      <groupName>格式问题</groupName>
      <ability>L2_HalfPunc</ability>
      <abilityName>全半角检查</abilityName>
      <candidateList>
        <item>）</item>
      </candidateList>
      <explain>文本全半角错误。</explain>
      <paraID>6FFBF521</paraID>
      <start>65</start>
      <end>66</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36cf9b-8559-4174-ab87-37ab39555def}">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1906</Words>
  <Characters>2003</Characters>
  <Lines>0</Lines>
  <Paragraphs>0</Paragraphs>
  <TotalTime>14</TotalTime>
  <ScaleCrop>false</ScaleCrop>
  <LinksUpToDate>false</LinksUpToDate>
  <CharactersWithSpaces>2048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2023-04-20T01:23:00Z</cp:lastPrinted>
  <dcterms:modified xsi:type="dcterms:W3CDTF">2025-11-19T01:01:11Z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4486F42128FF468989906764FB11ADE7</vt:lpwstr>
  </property>
  <property fmtid="{D5CDD505-2E9C-101B-9397-08002B2CF9AE}" pid="4" name="KSOTemplateDocerSaveRecord">
    <vt:lpwstr>eyJoZGlkIjoiMDc5MzViOWI5ODMxNmU1MjFmZjY5NjVlZTE5M2Q2YjUiLCJ1c2VySWQiOiIzNDEzNjc4NTYifQ==</vt:lpwstr>
  </property>
</Properties>
</file>