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36C828">
      <w:pPr>
        <w:autoSpaceDE w:val="0"/>
        <w:autoSpaceDN w:val="0"/>
        <w:adjustRightInd w:val="0"/>
        <w:spacing w:line="600" w:lineRule="exact"/>
        <w:jc w:val="center"/>
        <w:rPr>
          <w:rFonts w:ascii="方正小标宋简体" w:hAnsi="Times New Roman" w:eastAsia="方正小标宋简体" w:cs="方正小标宋简体"/>
          <w:color w:val="000000"/>
          <w:sz w:val="44"/>
          <w:szCs w:val="44"/>
        </w:rPr>
      </w:pPr>
      <w:r>
        <w:rPr>
          <w:rFonts w:hint="eastAsia" w:ascii="方正小标宋简体" w:hAnsi="Times New Roman" w:eastAsia="方正小标宋简体" w:cs="方正小标宋简体"/>
          <w:color w:val="000000"/>
          <w:sz w:val="44"/>
          <w:szCs w:val="44"/>
        </w:rPr>
        <w:t>吉林省建设项目环境影响评价文件</w:t>
      </w:r>
    </w:p>
    <w:p w14:paraId="611EF5B7">
      <w:pPr>
        <w:autoSpaceDE w:val="0"/>
        <w:autoSpaceDN w:val="0"/>
        <w:adjustRightInd w:val="0"/>
        <w:spacing w:line="600" w:lineRule="exact"/>
        <w:jc w:val="center"/>
        <w:rPr>
          <w:rFonts w:ascii="仿宋_GB2312" w:hAnsi="宋体" w:eastAsia="仿宋_GB2312"/>
          <w:color w:val="000000"/>
          <w:sz w:val="32"/>
          <w:szCs w:val="32"/>
        </w:rPr>
      </w:pPr>
      <w:r>
        <w:rPr>
          <w:rFonts w:hint="eastAsia" w:ascii="方正小标宋简体" w:hAnsi="Times New Roman" w:eastAsia="方正小标宋简体" w:cs="方正小标宋简体"/>
          <w:color w:val="000000"/>
          <w:sz w:val="44"/>
          <w:szCs w:val="44"/>
        </w:rPr>
        <w:t>告知承诺制审批表</w:t>
      </w:r>
    </w:p>
    <w:p w14:paraId="3283EE3E">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8"/>
          <w:szCs w:val="28"/>
          <w:lang w:val="zh-TW" w:eastAsia="zh-CN"/>
        </w:rPr>
      </w:pPr>
    </w:p>
    <w:p w14:paraId="0776E21D">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仿宋" w:hAnsi="仿宋" w:eastAsia="仿宋"/>
          <w:sz w:val="32"/>
          <w:szCs w:val="32"/>
          <w:lang w:val="en-US"/>
        </w:rPr>
      </w:pPr>
      <w:r>
        <w:rPr>
          <w:rFonts w:hint="eastAsia" w:ascii="仿宋" w:hAnsi="仿宋" w:eastAsia="仿宋" w:cs="仿宋"/>
          <w:sz w:val="28"/>
          <w:szCs w:val="28"/>
          <w:lang w:val="zh-TW" w:eastAsia="zh-CN"/>
        </w:rPr>
        <w:t>审批号：吉市（龙）环建（表）承字〔</w:t>
      </w:r>
      <w:r>
        <w:rPr>
          <w:rFonts w:hint="eastAsia" w:ascii="仿宋" w:hAnsi="仿宋" w:eastAsia="仿宋" w:cs="仿宋"/>
          <w:sz w:val="28"/>
          <w:szCs w:val="28"/>
          <w:lang w:val="en-US" w:eastAsia="zh-CN"/>
        </w:rPr>
        <w:t>2025</w:t>
      </w:r>
      <w:r>
        <w:rPr>
          <w:rFonts w:hint="eastAsia" w:ascii="仿宋" w:hAnsi="仿宋" w:eastAsia="仿宋" w:cs="仿宋"/>
          <w:sz w:val="28"/>
          <w:szCs w:val="28"/>
          <w:lang w:val="zh-TW" w:eastAsia="zh-CN"/>
        </w:rPr>
        <w:t>〕</w:t>
      </w:r>
      <w:r>
        <w:rPr>
          <w:rFonts w:hint="eastAsia" w:ascii="仿宋" w:hAnsi="仿宋" w:eastAsia="仿宋" w:cs="仿宋"/>
          <w:sz w:val="28"/>
          <w:szCs w:val="28"/>
          <w:lang w:val="en-US" w:eastAsia="zh-CN"/>
        </w:rPr>
        <w:t>2号</w:t>
      </w:r>
    </w:p>
    <w:tbl>
      <w:tblPr>
        <w:tblStyle w:val="10"/>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77"/>
        <w:gridCol w:w="2148"/>
        <w:gridCol w:w="2553"/>
        <w:gridCol w:w="1744"/>
      </w:tblGrid>
      <w:tr w14:paraId="42DA01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8" w:space="0"/>
              <w:left w:val="single" w:color="auto" w:sz="8" w:space="0"/>
              <w:bottom w:val="single" w:color="auto" w:sz="4" w:space="0"/>
              <w:right w:val="single" w:color="auto" w:sz="4" w:space="0"/>
            </w:tcBorders>
            <w:vAlign w:val="center"/>
          </w:tcPr>
          <w:p w14:paraId="4A55F1E1">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项目名称</w:t>
            </w:r>
          </w:p>
        </w:tc>
        <w:tc>
          <w:tcPr>
            <w:tcW w:w="6445" w:type="dxa"/>
            <w:gridSpan w:val="3"/>
            <w:tcBorders>
              <w:top w:val="single" w:color="auto" w:sz="8" w:space="0"/>
              <w:left w:val="single" w:color="auto" w:sz="4" w:space="0"/>
              <w:bottom w:val="single" w:color="auto" w:sz="4" w:space="0"/>
              <w:right w:val="single" w:color="auto" w:sz="8" w:space="0"/>
            </w:tcBorders>
            <w:vAlign w:val="center"/>
          </w:tcPr>
          <w:p w14:paraId="3DEED00C">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吉林莱德化学科技有限公司</w:t>
            </w:r>
            <w:r>
              <w:rPr>
                <w:rFonts w:hint="eastAsia" w:ascii="仿宋_GB2312" w:hAnsi="宋体" w:eastAsia="仿宋_GB2312"/>
                <w:sz w:val="24"/>
                <w:szCs w:val="24"/>
                <w:lang w:val="en-US" w:eastAsia="zh-CN"/>
              </w:rPr>
              <w:t>金属零部件加工扩建项目</w:t>
            </w:r>
          </w:p>
        </w:tc>
      </w:tr>
      <w:tr w14:paraId="1BFD80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61858D8E">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建设地点</w:t>
            </w:r>
          </w:p>
        </w:tc>
        <w:tc>
          <w:tcPr>
            <w:tcW w:w="2148" w:type="dxa"/>
            <w:tcBorders>
              <w:top w:val="single" w:color="auto" w:sz="4" w:space="0"/>
              <w:left w:val="single" w:color="auto" w:sz="4" w:space="0"/>
              <w:bottom w:val="single" w:color="auto" w:sz="4" w:space="0"/>
              <w:right w:val="single" w:color="auto" w:sz="4" w:space="0"/>
            </w:tcBorders>
            <w:vAlign w:val="center"/>
          </w:tcPr>
          <w:p w14:paraId="34554F4D">
            <w:pPr>
              <w:adjustRightInd w:val="0"/>
              <w:snapToGrid w:val="0"/>
              <w:spacing w:line="480" w:lineRule="exact"/>
              <w:jc w:val="center"/>
              <w:rPr>
                <w:rFonts w:hint="eastAsia" w:ascii="仿宋_GB2312" w:hAnsi="宋体" w:eastAsia="仿宋_GB2312"/>
                <w:sz w:val="24"/>
                <w:szCs w:val="24"/>
                <w:lang w:eastAsia="zh-CN"/>
              </w:rPr>
            </w:pPr>
            <w:r>
              <w:rPr>
                <w:rFonts w:hint="eastAsia" w:ascii="仿宋_GB2312" w:hAnsi="宋体" w:eastAsia="仿宋_GB2312"/>
                <w:sz w:val="24"/>
                <w:szCs w:val="24"/>
                <w:lang w:eastAsia="zh-CN"/>
              </w:rPr>
              <w:t>吉林市龙潭区</w:t>
            </w:r>
          </w:p>
          <w:p w14:paraId="71E7A7D1">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lang w:eastAsia="zh-CN"/>
              </w:rPr>
              <w:t>漓江街</w:t>
            </w:r>
          </w:p>
        </w:tc>
        <w:tc>
          <w:tcPr>
            <w:tcW w:w="2553" w:type="dxa"/>
            <w:tcBorders>
              <w:top w:val="single" w:color="auto" w:sz="4" w:space="0"/>
              <w:left w:val="single" w:color="auto" w:sz="4" w:space="0"/>
              <w:bottom w:val="single" w:color="auto" w:sz="4" w:space="0"/>
              <w:right w:val="single" w:color="auto" w:sz="4" w:space="0"/>
            </w:tcBorders>
            <w:vAlign w:val="center"/>
          </w:tcPr>
          <w:p w14:paraId="249EEBD6">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占地（建筑、营业）面积（m</w:t>
            </w:r>
            <w:r>
              <w:rPr>
                <w:rFonts w:hint="eastAsia" w:ascii="仿宋_GB2312" w:hAnsi="宋体" w:eastAsia="仿宋_GB2312"/>
                <w:sz w:val="24"/>
                <w:szCs w:val="24"/>
                <w:vertAlign w:val="superscript"/>
              </w:rPr>
              <w:t>2</w:t>
            </w:r>
            <w:r>
              <w:rPr>
                <w:rFonts w:hint="eastAsia" w:ascii="仿宋_GB2312" w:hAnsi="宋体" w:eastAsia="仿宋_GB2312"/>
                <w:sz w:val="24"/>
                <w:szCs w:val="24"/>
              </w:rPr>
              <w:t>）</w:t>
            </w:r>
          </w:p>
        </w:tc>
        <w:tc>
          <w:tcPr>
            <w:tcW w:w="1744" w:type="dxa"/>
            <w:tcBorders>
              <w:top w:val="single" w:color="auto" w:sz="4" w:space="0"/>
              <w:left w:val="single" w:color="auto" w:sz="4" w:space="0"/>
              <w:bottom w:val="single" w:color="auto" w:sz="4" w:space="0"/>
              <w:right w:val="single" w:color="auto" w:sz="8" w:space="0"/>
            </w:tcBorders>
            <w:vAlign w:val="center"/>
          </w:tcPr>
          <w:p w14:paraId="5761E981">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不新增占地</w:t>
            </w:r>
          </w:p>
        </w:tc>
      </w:tr>
      <w:tr w14:paraId="18FDAF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5FE01C67">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建设单位</w:t>
            </w:r>
          </w:p>
        </w:tc>
        <w:tc>
          <w:tcPr>
            <w:tcW w:w="2148" w:type="dxa"/>
            <w:tcBorders>
              <w:top w:val="single" w:color="auto" w:sz="4" w:space="0"/>
              <w:left w:val="single" w:color="auto" w:sz="4" w:space="0"/>
              <w:bottom w:val="single" w:color="auto" w:sz="4" w:space="0"/>
              <w:right w:val="single" w:color="auto" w:sz="4" w:space="0"/>
            </w:tcBorders>
            <w:vAlign w:val="center"/>
          </w:tcPr>
          <w:p w14:paraId="032B3EC8">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吉林莱德化学科技有限公司</w:t>
            </w:r>
          </w:p>
        </w:tc>
        <w:tc>
          <w:tcPr>
            <w:tcW w:w="2553" w:type="dxa"/>
            <w:tcBorders>
              <w:top w:val="single" w:color="auto" w:sz="4" w:space="0"/>
              <w:left w:val="single" w:color="auto" w:sz="4" w:space="0"/>
              <w:bottom w:val="single" w:color="auto" w:sz="4" w:space="0"/>
              <w:right w:val="single" w:color="auto" w:sz="4" w:space="0"/>
            </w:tcBorders>
            <w:vAlign w:val="center"/>
          </w:tcPr>
          <w:p w14:paraId="26CE4066">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法定代表人或者</w:t>
            </w:r>
          </w:p>
          <w:p w14:paraId="195B5A60">
            <w:pPr>
              <w:adjustRightInd w:val="0"/>
              <w:snapToGrid w:val="0"/>
              <w:spacing w:line="480" w:lineRule="exact"/>
              <w:jc w:val="center"/>
              <w:rPr>
                <w:rFonts w:hint="eastAsia" w:ascii="仿宋_GB2312" w:hAnsi="宋体" w:eastAsia="仿宋_GB2312"/>
                <w:sz w:val="24"/>
                <w:szCs w:val="24"/>
              </w:rPr>
            </w:pPr>
            <w:r>
              <w:rPr>
                <w:rFonts w:hint="eastAsia" w:ascii="仿宋_GB2312" w:hAnsi="宋体" w:eastAsia="仿宋_GB2312"/>
                <w:sz w:val="24"/>
                <w:szCs w:val="24"/>
              </w:rPr>
              <w:t>主要负责人</w:t>
            </w:r>
          </w:p>
        </w:tc>
        <w:tc>
          <w:tcPr>
            <w:tcW w:w="1744" w:type="dxa"/>
            <w:tcBorders>
              <w:top w:val="single" w:color="auto" w:sz="4" w:space="0"/>
              <w:left w:val="single" w:color="auto" w:sz="4" w:space="0"/>
              <w:bottom w:val="single" w:color="auto" w:sz="4" w:space="0"/>
              <w:right w:val="single" w:color="auto" w:sz="8" w:space="0"/>
            </w:tcBorders>
            <w:vAlign w:val="center"/>
          </w:tcPr>
          <w:p w14:paraId="1A73C3A7">
            <w:pPr>
              <w:adjustRightInd w:val="0"/>
              <w:snapToGrid w:val="0"/>
              <w:spacing w:line="480" w:lineRule="exact"/>
              <w:jc w:val="center"/>
              <w:rPr>
                <w:rFonts w:hint="default" w:ascii="仿宋_GB2312" w:hAnsi="宋体" w:eastAsia="仿宋_GB2312"/>
                <w:sz w:val="24"/>
                <w:szCs w:val="24"/>
                <w:lang w:val="en-US" w:eastAsia="zh-CN"/>
              </w:rPr>
            </w:pPr>
          </w:p>
        </w:tc>
      </w:tr>
      <w:tr w14:paraId="63E9DA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4BA53236">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联系人</w:t>
            </w:r>
          </w:p>
        </w:tc>
        <w:tc>
          <w:tcPr>
            <w:tcW w:w="2148" w:type="dxa"/>
            <w:tcBorders>
              <w:top w:val="single" w:color="auto" w:sz="4" w:space="0"/>
              <w:left w:val="single" w:color="auto" w:sz="4" w:space="0"/>
              <w:bottom w:val="single" w:color="auto" w:sz="4" w:space="0"/>
              <w:right w:val="single" w:color="auto" w:sz="4" w:space="0"/>
            </w:tcBorders>
            <w:vAlign w:val="center"/>
          </w:tcPr>
          <w:p w14:paraId="6F78D33D">
            <w:pPr>
              <w:adjustRightInd w:val="0"/>
              <w:snapToGrid w:val="0"/>
              <w:spacing w:line="480" w:lineRule="exact"/>
              <w:jc w:val="center"/>
              <w:rPr>
                <w:rFonts w:hint="default" w:ascii="仿宋_GB2312" w:hAnsi="宋体" w:eastAsia="仿宋_GB2312"/>
                <w:sz w:val="24"/>
                <w:szCs w:val="24"/>
                <w:lang w:val="en-US" w:eastAsia="zh-CN"/>
              </w:rPr>
            </w:pPr>
            <w:bookmarkStart w:id="0" w:name="_GoBack"/>
            <w:bookmarkEnd w:id="0"/>
          </w:p>
        </w:tc>
        <w:tc>
          <w:tcPr>
            <w:tcW w:w="2553" w:type="dxa"/>
            <w:tcBorders>
              <w:top w:val="single" w:color="auto" w:sz="4" w:space="0"/>
              <w:left w:val="single" w:color="auto" w:sz="4" w:space="0"/>
              <w:bottom w:val="single" w:color="auto" w:sz="4" w:space="0"/>
              <w:right w:val="single" w:color="auto" w:sz="4" w:space="0"/>
            </w:tcBorders>
            <w:vAlign w:val="center"/>
          </w:tcPr>
          <w:p w14:paraId="205C8D5B">
            <w:pPr>
              <w:adjustRightInd w:val="0"/>
              <w:snapToGrid w:val="0"/>
              <w:spacing w:line="480" w:lineRule="exact"/>
              <w:jc w:val="center"/>
              <w:rPr>
                <w:rFonts w:hint="eastAsia" w:ascii="仿宋_GB2312" w:hAnsi="宋体" w:eastAsia="仿宋_GB2312"/>
                <w:sz w:val="24"/>
                <w:szCs w:val="24"/>
                <w:lang w:val="en-US" w:eastAsia="zh-CN"/>
              </w:rPr>
            </w:pPr>
            <w:r>
              <w:rPr>
                <w:rFonts w:hint="eastAsia" w:ascii="仿宋_GB2312" w:hAnsi="宋体" w:eastAsia="仿宋_GB2312"/>
                <w:sz w:val="24"/>
                <w:szCs w:val="24"/>
                <w:lang w:val="en-US" w:eastAsia="zh-CN"/>
              </w:rPr>
              <w:t>联系电话</w:t>
            </w:r>
          </w:p>
        </w:tc>
        <w:tc>
          <w:tcPr>
            <w:tcW w:w="1744" w:type="dxa"/>
            <w:tcBorders>
              <w:top w:val="single" w:color="auto" w:sz="4" w:space="0"/>
              <w:left w:val="single" w:color="auto" w:sz="4" w:space="0"/>
              <w:bottom w:val="single" w:color="auto" w:sz="4" w:space="0"/>
              <w:right w:val="single" w:color="auto" w:sz="8" w:space="0"/>
            </w:tcBorders>
            <w:vAlign w:val="center"/>
          </w:tcPr>
          <w:p w14:paraId="1C9F0E94">
            <w:pPr>
              <w:adjustRightInd w:val="0"/>
              <w:snapToGrid w:val="0"/>
              <w:spacing w:line="480" w:lineRule="exact"/>
              <w:jc w:val="center"/>
              <w:rPr>
                <w:rFonts w:hint="default" w:ascii="仿宋_GB2312" w:hAnsi="宋体" w:eastAsia="仿宋_GB2312"/>
                <w:sz w:val="24"/>
                <w:szCs w:val="24"/>
                <w:lang w:val="en-US" w:eastAsia="zh-CN"/>
              </w:rPr>
            </w:pPr>
          </w:p>
        </w:tc>
      </w:tr>
      <w:tr w14:paraId="2987FC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3FA19B0D">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项目投资</w:t>
            </w:r>
            <w:r>
              <w:rPr>
                <w:rFonts w:hint="eastAsia" w:ascii="仿宋_GB2312" w:hAnsi="宋体" w:eastAsia="仿宋_GB2312"/>
                <w:sz w:val="24"/>
                <w:szCs w:val="24"/>
                <w:lang w:eastAsia="zh-CN"/>
              </w:rPr>
              <w:t>（</w:t>
            </w:r>
            <w:r>
              <w:rPr>
                <w:rFonts w:hint="eastAsia" w:ascii="仿宋_GB2312" w:hAnsi="宋体" w:eastAsia="仿宋_GB2312"/>
                <w:sz w:val="24"/>
                <w:szCs w:val="24"/>
              </w:rPr>
              <w:t>万元</w:t>
            </w:r>
            <w:r>
              <w:rPr>
                <w:rFonts w:hint="eastAsia" w:ascii="仿宋_GB2312" w:hAnsi="宋体" w:eastAsia="仿宋_GB2312"/>
                <w:sz w:val="24"/>
                <w:szCs w:val="24"/>
                <w:lang w:eastAsia="zh-CN"/>
              </w:rPr>
              <w:t>）</w:t>
            </w:r>
          </w:p>
        </w:tc>
        <w:tc>
          <w:tcPr>
            <w:tcW w:w="2148" w:type="dxa"/>
            <w:tcBorders>
              <w:top w:val="single" w:color="auto" w:sz="4" w:space="0"/>
              <w:left w:val="single" w:color="auto" w:sz="4" w:space="0"/>
              <w:bottom w:val="single" w:color="auto" w:sz="4" w:space="0"/>
              <w:right w:val="single" w:color="auto" w:sz="4" w:space="0"/>
            </w:tcBorders>
            <w:vAlign w:val="center"/>
          </w:tcPr>
          <w:p w14:paraId="7562375D">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500</w:t>
            </w:r>
          </w:p>
        </w:tc>
        <w:tc>
          <w:tcPr>
            <w:tcW w:w="2553" w:type="dxa"/>
            <w:tcBorders>
              <w:top w:val="single" w:color="auto" w:sz="4" w:space="0"/>
              <w:left w:val="single" w:color="auto" w:sz="4" w:space="0"/>
              <w:bottom w:val="single" w:color="auto" w:sz="4" w:space="0"/>
              <w:right w:val="single" w:color="auto" w:sz="4" w:space="0"/>
            </w:tcBorders>
            <w:vAlign w:val="center"/>
          </w:tcPr>
          <w:p w14:paraId="53CCDBCC">
            <w:pPr>
              <w:adjustRightInd w:val="0"/>
              <w:snapToGrid w:val="0"/>
              <w:spacing w:line="480" w:lineRule="exact"/>
              <w:jc w:val="center"/>
              <w:rPr>
                <w:rFonts w:hint="eastAsia" w:ascii="仿宋_GB2312" w:hAnsi="宋体" w:eastAsia="仿宋_GB2312"/>
                <w:sz w:val="24"/>
                <w:szCs w:val="24"/>
                <w:lang w:eastAsia="zh-CN"/>
              </w:rPr>
            </w:pPr>
            <w:r>
              <w:rPr>
                <w:rFonts w:hint="eastAsia" w:ascii="仿宋_GB2312" w:hAnsi="宋体" w:eastAsia="仿宋_GB2312"/>
                <w:sz w:val="24"/>
                <w:szCs w:val="24"/>
                <w:lang w:eastAsia="zh-CN"/>
              </w:rPr>
              <w:t>环保投资（万元）</w:t>
            </w:r>
          </w:p>
        </w:tc>
        <w:tc>
          <w:tcPr>
            <w:tcW w:w="1744" w:type="dxa"/>
            <w:tcBorders>
              <w:top w:val="single" w:color="auto" w:sz="4" w:space="0"/>
              <w:left w:val="single" w:color="auto" w:sz="4" w:space="0"/>
              <w:bottom w:val="single" w:color="auto" w:sz="4" w:space="0"/>
              <w:right w:val="single" w:color="auto" w:sz="8" w:space="0"/>
            </w:tcBorders>
            <w:vAlign w:val="center"/>
          </w:tcPr>
          <w:p w14:paraId="3B351CAC">
            <w:pPr>
              <w:adjustRightInd w:val="0"/>
              <w:snapToGrid w:val="0"/>
              <w:spacing w:line="480" w:lineRule="exact"/>
              <w:jc w:val="center"/>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29</w:t>
            </w:r>
          </w:p>
        </w:tc>
      </w:tr>
      <w:tr w14:paraId="772381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5044025F">
            <w:pPr>
              <w:adjustRightInd w:val="0"/>
              <w:snapToGrid w:val="0"/>
              <w:spacing w:line="480" w:lineRule="exact"/>
              <w:jc w:val="center"/>
              <w:rPr>
                <w:rFonts w:ascii="仿宋_GB2312" w:hAnsi="宋体" w:eastAsia="仿宋_GB2312" w:cs="Times New Roman"/>
                <w:sz w:val="24"/>
                <w:szCs w:val="24"/>
              </w:rPr>
            </w:pPr>
            <w:r>
              <w:rPr>
                <w:rFonts w:hint="eastAsia" w:ascii="仿宋_GB2312" w:hAnsi="宋体" w:eastAsia="仿宋_GB2312"/>
                <w:sz w:val="24"/>
                <w:szCs w:val="24"/>
              </w:rPr>
              <w:t>拟投入生产运营日期</w:t>
            </w:r>
          </w:p>
        </w:tc>
        <w:tc>
          <w:tcPr>
            <w:tcW w:w="6445" w:type="dxa"/>
            <w:gridSpan w:val="3"/>
            <w:tcBorders>
              <w:top w:val="single" w:color="auto" w:sz="4" w:space="0"/>
              <w:left w:val="single" w:color="auto" w:sz="4" w:space="0"/>
              <w:bottom w:val="single" w:color="auto" w:sz="4" w:space="0"/>
              <w:right w:val="single" w:color="auto" w:sz="8" w:space="0"/>
            </w:tcBorders>
            <w:vAlign w:val="center"/>
          </w:tcPr>
          <w:p w14:paraId="060BD706">
            <w:pPr>
              <w:adjustRightInd w:val="0"/>
              <w:snapToGrid w:val="0"/>
              <w:spacing w:line="480" w:lineRule="exact"/>
              <w:jc w:val="center"/>
              <w:rPr>
                <w:rFonts w:ascii="Times New Roman" w:hAnsi="Times New Roman" w:eastAsia="仿宋" w:cs="Times New Roman"/>
                <w:sz w:val="24"/>
                <w:szCs w:val="24"/>
              </w:rPr>
            </w:pPr>
            <w:r>
              <w:rPr>
                <w:rFonts w:hint="eastAsia" w:ascii="仿宋_GB2312" w:hAnsi="宋体" w:eastAsia="仿宋_GB2312"/>
                <w:sz w:val="24"/>
                <w:szCs w:val="24"/>
              </w:rPr>
              <w:t>202</w:t>
            </w:r>
            <w:r>
              <w:rPr>
                <w:rFonts w:hint="eastAsia" w:ascii="仿宋_GB2312" w:hAnsi="宋体" w:eastAsia="仿宋_GB2312"/>
                <w:sz w:val="24"/>
                <w:szCs w:val="24"/>
                <w:lang w:val="en-US" w:eastAsia="zh-CN"/>
              </w:rPr>
              <w:t>5</w:t>
            </w:r>
            <w:r>
              <w:rPr>
                <w:rFonts w:hint="eastAsia" w:ascii="仿宋_GB2312" w:hAnsi="宋体" w:eastAsia="仿宋_GB2312"/>
                <w:sz w:val="24"/>
                <w:szCs w:val="24"/>
              </w:rPr>
              <w:t>年</w:t>
            </w:r>
            <w:r>
              <w:rPr>
                <w:rFonts w:hint="eastAsia" w:ascii="仿宋_GB2312" w:hAnsi="宋体" w:eastAsia="仿宋_GB2312"/>
                <w:sz w:val="24"/>
                <w:szCs w:val="24"/>
                <w:lang w:val="en-US" w:eastAsia="zh-CN"/>
              </w:rPr>
              <w:t>12</w:t>
            </w:r>
            <w:r>
              <w:rPr>
                <w:rFonts w:hint="eastAsia" w:ascii="仿宋_GB2312" w:hAnsi="宋体" w:eastAsia="仿宋_GB2312"/>
                <w:sz w:val="24"/>
                <w:szCs w:val="24"/>
              </w:rPr>
              <w:t>月</w:t>
            </w:r>
          </w:p>
        </w:tc>
      </w:tr>
      <w:tr w14:paraId="391C98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0"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191EB008">
            <w:pPr>
              <w:adjustRightInd w:val="0"/>
              <w:snapToGrid w:val="0"/>
              <w:spacing w:line="500" w:lineRule="exact"/>
              <w:jc w:val="center"/>
              <w:rPr>
                <w:rFonts w:ascii="仿宋_GB2312" w:hAnsi="宋体" w:eastAsia="仿宋_GB2312" w:cs="Times New Roman"/>
                <w:sz w:val="24"/>
                <w:szCs w:val="24"/>
              </w:rPr>
            </w:pPr>
            <w:r>
              <w:rPr>
                <w:rFonts w:hint="eastAsia" w:ascii="仿宋_GB2312" w:hAnsi="宋体" w:eastAsia="仿宋_GB2312"/>
                <w:sz w:val="24"/>
                <w:szCs w:val="24"/>
              </w:rPr>
              <w:t>告知承诺制审批依据</w:t>
            </w:r>
          </w:p>
        </w:tc>
        <w:tc>
          <w:tcPr>
            <w:tcW w:w="6445" w:type="dxa"/>
            <w:gridSpan w:val="3"/>
            <w:tcBorders>
              <w:top w:val="single" w:color="auto" w:sz="4" w:space="0"/>
              <w:left w:val="single" w:color="auto" w:sz="4" w:space="0"/>
              <w:bottom w:val="single" w:color="auto" w:sz="4" w:space="0"/>
              <w:right w:val="single" w:color="auto" w:sz="8" w:space="0"/>
            </w:tcBorders>
            <w:vAlign w:val="center"/>
          </w:tcPr>
          <w:p w14:paraId="1F483A25">
            <w:pPr>
              <w:adjustRightInd w:val="0"/>
              <w:snapToGrid w:val="0"/>
              <w:spacing w:line="460" w:lineRule="exact"/>
              <w:rPr>
                <w:rFonts w:ascii="Times New Roman" w:hAnsi="Times New Roman" w:eastAsia="仿宋" w:cs="Times New Roman"/>
                <w:sz w:val="24"/>
                <w:szCs w:val="24"/>
              </w:rPr>
            </w:pPr>
            <w:r>
              <w:rPr>
                <w:rFonts w:hint="eastAsia" w:ascii="Times New Roman" w:hAnsi="仿宋" w:eastAsia="仿宋" w:cs="Times New Roman"/>
                <w:sz w:val="24"/>
                <w:szCs w:val="24"/>
              </w:rPr>
              <w:t>本</w:t>
            </w:r>
            <w:r>
              <w:rPr>
                <w:rFonts w:ascii="Times New Roman" w:hAnsi="仿宋" w:eastAsia="仿宋" w:cs="Times New Roman"/>
                <w:sz w:val="24"/>
                <w:szCs w:val="24"/>
              </w:rPr>
              <w:t>项目属于《吉林省生态环境厅关于实施建设项目环境影响评价文件审批事项告知承诺制改革试点的通知》适用范围中的</w:t>
            </w:r>
            <w:r>
              <w:rPr>
                <w:rFonts w:ascii="Times New Roman" w:hAnsi="Times New Roman" w:eastAsia="仿宋" w:cs="Times New Roman"/>
                <w:sz w:val="24"/>
                <w:szCs w:val="24"/>
              </w:rPr>
              <w:t>“</w:t>
            </w:r>
            <w:r>
              <w:rPr>
                <w:rFonts w:ascii="Times New Roman" w:hAnsi="仿宋" w:eastAsia="仿宋" w:cs="Times New Roman"/>
                <w:sz w:val="24"/>
                <w:szCs w:val="24"/>
              </w:rPr>
              <w:t>除有毒、有害及危险品的仓储、物流配送项目外，应编制环境影响报告表的</w:t>
            </w:r>
            <w:r>
              <w:rPr>
                <w:rFonts w:ascii="Times New Roman" w:hAnsi="Times New Roman" w:eastAsia="仿宋" w:cs="Times New Roman"/>
                <w:sz w:val="24"/>
                <w:szCs w:val="24"/>
              </w:rPr>
              <w:t>”</w:t>
            </w:r>
            <w:r>
              <w:rPr>
                <w:rFonts w:ascii="Times New Roman" w:hAnsi="仿宋" w:eastAsia="仿宋" w:cs="Times New Roman"/>
                <w:sz w:val="24"/>
                <w:szCs w:val="24"/>
              </w:rPr>
              <w:t>建设项目。</w:t>
            </w:r>
          </w:p>
        </w:tc>
      </w:tr>
      <w:tr w14:paraId="0552F8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7" w:type="dxa"/>
            <w:tcBorders>
              <w:top w:val="single" w:color="auto" w:sz="4" w:space="0"/>
              <w:left w:val="single" w:color="auto" w:sz="8" w:space="0"/>
              <w:bottom w:val="single" w:color="auto" w:sz="4" w:space="0"/>
              <w:right w:val="single" w:color="auto" w:sz="4" w:space="0"/>
            </w:tcBorders>
            <w:vAlign w:val="center"/>
          </w:tcPr>
          <w:p w14:paraId="15825265">
            <w:pPr>
              <w:adjustRightInd w:val="0"/>
              <w:snapToGrid w:val="0"/>
              <w:spacing w:line="500" w:lineRule="exact"/>
              <w:jc w:val="center"/>
              <w:rPr>
                <w:rFonts w:ascii="仿宋_GB2312" w:hAnsi="宋体" w:eastAsia="仿宋_GB2312" w:cs="Times New Roman"/>
                <w:sz w:val="24"/>
                <w:szCs w:val="24"/>
              </w:rPr>
            </w:pPr>
            <w:r>
              <w:rPr>
                <w:rFonts w:hint="eastAsia" w:ascii="仿宋_GB2312" w:hAnsi="宋体" w:eastAsia="仿宋_GB2312"/>
                <w:sz w:val="24"/>
                <w:szCs w:val="24"/>
              </w:rPr>
              <w:t>建设内容及规模</w:t>
            </w:r>
          </w:p>
        </w:tc>
        <w:tc>
          <w:tcPr>
            <w:tcW w:w="6445" w:type="dxa"/>
            <w:gridSpan w:val="3"/>
            <w:tcBorders>
              <w:top w:val="single" w:color="auto" w:sz="4" w:space="0"/>
              <w:left w:val="single" w:color="auto" w:sz="4" w:space="0"/>
              <w:bottom w:val="single" w:color="auto" w:sz="4" w:space="0"/>
              <w:right w:val="single" w:color="auto" w:sz="8" w:space="0"/>
            </w:tcBorders>
            <w:vAlign w:val="center"/>
          </w:tcPr>
          <w:p w14:paraId="49692F53">
            <w:pPr>
              <w:pStyle w:val="2"/>
              <w:ind w:left="0" w:leftChars="0" w:firstLine="0" w:firstLineChars="0"/>
              <w:jc w:val="left"/>
            </w:pPr>
            <w:r>
              <w:rPr>
                <w:rFonts w:hint="eastAsia" w:ascii="仿宋" w:hAnsi="仿宋" w:eastAsia="仿宋" w:cs="仿宋"/>
                <w:sz w:val="24"/>
                <w:szCs w:val="24"/>
                <w:lang w:val="en-US" w:eastAsia="zh-CN"/>
              </w:rPr>
              <w:t>本项目将现有2条加工能力8000t/a金属零部件加工生产线迁至3号厂房4层（更新其中1台网带通过式燃气烘干炉，型号及生产能力不变），新建3条金属零部件涂装生产线（分别为水性涂料浸涂线、溶剂型涂料浸涂线、水性涂</w:t>
            </w:r>
            <w:r>
              <w:rPr>
                <w:rFonts w:hint="eastAsia" w:ascii="仿宋" w:hAnsi="仿宋" w:eastAsia="仿宋" w:cs="仿宋"/>
                <w:color w:val="000000" w:themeColor="text1"/>
                <w:sz w:val="24"/>
                <w:szCs w:val="24"/>
                <w:lang w:val="en-US" w:eastAsia="zh-CN"/>
              </w:rPr>
              <w:t>料喷涂线），</w:t>
            </w:r>
            <w:r>
              <w:rPr>
                <w:rFonts w:hint="eastAsia" w:ascii="仿宋" w:hAnsi="仿宋" w:eastAsia="仿宋" w:cs="仿宋"/>
                <w:sz w:val="24"/>
                <w:szCs w:val="24"/>
                <w:lang w:val="en-US" w:eastAsia="zh-CN"/>
              </w:rPr>
              <w:t>将现有1台热风烘干机改造为燃气烘干炉，新增2</w:t>
            </w:r>
            <w:r>
              <w:rPr>
                <w:rFonts w:hint="eastAsia" w:ascii="仿宋" w:hAnsi="仿宋" w:eastAsia="仿宋" w:cs="仿宋"/>
                <w:color w:val="000000" w:themeColor="text1"/>
                <w:sz w:val="24"/>
                <w:szCs w:val="24"/>
                <w:lang w:val="en-US" w:eastAsia="zh-CN"/>
              </w:rPr>
              <w:t>台网带通过式天然气烘干炉</w:t>
            </w:r>
            <w:r>
              <w:rPr>
                <w:rFonts w:hint="eastAsia" w:ascii="仿宋" w:hAnsi="仿宋" w:eastAsia="仿宋" w:cs="仿宋"/>
                <w:sz w:val="24"/>
                <w:szCs w:val="24"/>
                <w:lang w:val="en-US" w:eastAsia="zh-CN"/>
              </w:rPr>
              <w:t>、1台抛丸机、2台行星式涂覆机、2台上料机、2台振动筛，建成后全厂加工金属零部件（涂装件）共16000t/a。</w:t>
            </w:r>
            <w:r>
              <w:rPr>
                <w:rFonts w:hint="eastAsia" w:ascii="仿宋" w:hAnsi="仿宋" w:eastAsia="仿宋" w:cs="仿宋"/>
                <w:color w:val="000000" w:themeColor="text1"/>
                <w:sz w:val="24"/>
                <w:szCs w:val="24"/>
                <w:highlight w:val="none"/>
                <w:lang w:val="en-US" w:eastAsia="zh-CN"/>
              </w:rPr>
              <w:t>新建</w:t>
            </w:r>
            <w:r>
              <w:rPr>
                <w:rFonts w:hint="eastAsia" w:ascii="仿宋" w:hAnsi="仿宋" w:eastAsia="仿宋" w:cs="仿宋"/>
                <w:color w:val="000000" w:themeColor="text1"/>
                <w:sz w:val="24"/>
                <w:szCs w:val="24"/>
                <w:lang w:val="en-US" w:eastAsia="zh-CN"/>
              </w:rPr>
              <w:t>10m</w:t>
            </w:r>
            <w:r>
              <w:rPr>
                <w:rFonts w:hint="eastAsia" w:ascii="仿宋" w:hAnsi="仿宋" w:eastAsia="仿宋" w:cs="仿宋"/>
                <w:color w:val="000000" w:themeColor="text1"/>
                <w:sz w:val="24"/>
                <w:szCs w:val="24"/>
                <w:vertAlign w:val="superscript"/>
                <w:lang w:val="en-US" w:eastAsia="zh-CN"/>
              </w:rPr>
              <w:t>2</w:t>
            </w:r>
            <w:r>
              <w:rPr>
                <w:rFonts w:hint="eastAsia" w:ascii="仿宋" w:hAnsi="仿宋" w:eastAsia="仿宋" w:cs="仿宋"/>
                <w:color w:val="000000" w:themeColor="text1"/>
                <w:sz w:val="24"/>
                <w:szCs w:val="24"/>
                <w:highlight w:val="none"/>
                <w:lang w:val="en-US" w:eastAsia="zh-CN"/>
              </w:rPr>
              <w:t>调漆间、</w:t>
            </w:r>
            <w:r>
              <w:rPr>
                <w:rFonts w:hint="eastAsia" w:ascii="仿宋" w:hAnsi="仿宋" w:eastAsia="仿宋" w:cs="仿宋"/>
                <w:color w:val="000000" w:themeColor="text1"/>
                <w:sz w:val="24"/>
                <w:szCs w:val="24"/>
                <w:lang w:val="en-US" w:eastAsia="zh-CN"/>
              </w:rPr>
              <w:t>20m</w:t>
            </w:r>
            <w:r>
              <w:rPr>
                <w:rFonts w:hint="eastAsia" w:ascii="仿宋" w:hAnsi="仿宋" w:eastAsia="仿宋" w:cs="仿宋"/>
                <w:color w:val="000000" w:themeColor="text1"/>
                <w:sz w:val="24"/>
                <w:szCs w:val="24"/>
                <w:vertAlign w:val="superscript"/>
                <w:lang w:val="en-US" w:eastAsia="zh-CN"/>
              </w:rPr>
              <w:t>2</w:t>
            </w:r>
            <w:r>
              <w:rPr>
                <w:rFonts w:hint="eastAsia" w:ascii="仿宋" w:hAnsi="仿宋" w:eastAsia="仿宋" w:cs="仿宋"/>
                <w:color w:val="000000" w:themeColor="text1"/>
                <w:sz w:val="24"/>
                <w:szCs w:val="24"/>
              </w:rPr>
              <w:t>原料储存</w:t>
            </w:r>
            <w:r>
              <w:rPr>
                <w:rFonts w:hint="eastAsia" w:ascii="仿宋" w:hAnsi="仿宋" w:eastAsia="仿宋" w:cs="仿宋"/>
                <w:color w:val="000000" w:themeColor="text1"/>
                <w:sz w:val="24"/>
                <w:szCs w:val="24"/>
                <w:lang w:val="en-US" w:eastAsia="zh-CN"/>
              </w:rPr>
              <w:t>库、20m</w:t>
            </w:r>
            <w:r>
              <w:rPr>
                <w:rFonts w:hint="eastAsia" w:ascii="仿宋" w:hAnsi="仿宋" w:eastAsia="仿宋" w:cs="仿宋"/>
                <w:color w:val="000000" w:themeColor="text1"/>
                <w:sz w:val="24"/>
                <w:szCs w:val="24"/>
                <w:vertAlign w:val="superscript"/>
                <w:lang w:val="en-US" w:eastAsia="zh-CN"/>
              </w:rPr>
              <w:t>2</w:t>
            </w:r>
            <w:r>
              <w:rPr>
                <w:rFonts w:hint="eastAsia" w:ascii="仿宋" w:hAnsi="仿宋" w:eastAsia="仿宋" w:cs="仿宋"/>
                <w:color w:val="000000" w:themeColor="text1"/>
                <w:sz w:val="24"/>
                <w:szCs w:val="24"/>
                <w:lang w:val="en-US" w:eastAsia="zh-CN"/>
              </w:rPr>
              <w:t>产品</w:t>
            </w:r>
            <w:r>
              <w:rPr>
                <w:rFonts w:hint="eastAsia" w:ascii="仿宋" w:hAnsi="仿宋" w:eastAsia="仿宋" w:cs="仿宋"/>
                <w:color w:val="000000" w:themeColor="text1"/>
                <w:sz w:val="24"/>
                <w:szCs w:val="24"/>
              </w:rPr>
              <w:t>储存</w:t>
            </w:r>
            <w:r>
              <w:rPr>
                <w:rFonts w:hint="eastAsia" w:ascii="仿宋" w:hAnsi="仿宋" w:eastAsia="仿宋" w:cs="仿宋"/>
                <w:color w:val="000000" w:themeColor="text1"/>
                <w:sz w:val="24"/>
                <w:szCs w:val="24"/>
                <w:lang w:val="en-US" w:eastAsia="zh-CN"/>
              </w:rPr>
              <w:t>库、20m</w:t>
            </w:r>
            <w:r>
              <w:rPr>
                <w:rFonts w:hint="eastAsia" w:ascii="仿宋" w:hAnsi="仿宋" w:eastAsia="仿宋" w:cs="仿宋"/>
                <w:color w:val="000000" w:themeColor="text1"/>
                <w:sz w:val="24"/>
                <w:szCs w:val="24"/>
                <w:vertAlign w:val="superscript"/>
                <w:lang w:val="en-US" w:eastAsia="zh-CN"/>
              </w:rPr>
              <w:t>2</w:t>
            </w:r>
            <w:r>
              <w:rPr>
                <w:rFonts w:hint="eastAsia" w:ascii="仿宋" w:hAnsi="仿宋" w:eastAsia="仿宋" w:cs="仿宋"/>
                <w:color w:val="000000" w:themeColor="text1"/>
                <w:sz w:val="24"/>
                <w:szCs w:val="24"/>
                <w:vertAlign w:val="baseline"/>
                <w:lang w:val="en-US" w:eastAsia="zh-CN"/>
              </w:rPr>
              <w:t>封闭</w:t>
            </w:r>
            <w:r>
              <w:rPr>
                <w:rFonts w:hint="eastAsia" w:ascii="仿宋" w:hAnsi="仿宋" w:eastAsia="仿宋" w:cs="仿宋"/>
                <w:color w:val="000000" w:themeColor="text1"/>
                <w:sz w:val="24"/>
                <w:szCs w:val="24"/>
              </w:rPr>
              <w:t>涂料</w:t>
            </w:r>
            <w:r>
              <w:rPr>
                <w:rFonts w:hint="eastAsia" w:ascii="仿宋" w:hAnsi="仿宋" w:eastAsia="仿宋" w:cs="仿宋"/>
                <w:color w:val="000000" w:themeColor="text1"/>
                <w:sz w:val="24"/>
                <w:szCs w:val="24"/>
                <w:highlight w:val="none"/>
                <w:lang w:val="en-US" w:eastAsia="zh-CN"/>
              </w:rPr>
              <w:t>库、4</w:t>
            </w:r>
            <w:r>
              <w:rPr>
                <w:rFonts w:hint="default" w:ascii="仿宋" w:hAnsi="仿宋" w:eastAsia="仿宋" w:cs="仿宋"/>
                <w:color w:val="000000" w:themeColor="text1"/>
                <w:sz w:val="24"/>
                <w:szCs w:val="24"/>
                <w:highlight w:val="none"/>
                <w:lang w:val="en-US" w:eastAsia="zh-CN"/>
              </w:rPr>
              <w:t>0m</w:t>
            </w:r>
            <w:r>
              <w:rPr>
                <w:rFonts w:hint="default" w:ascii="仿宋" w:hAnsi="仿宋" w:eastAsia="仿宋" w:cs="仿宋"/>
                <w:color w:val="000000" w:themeColor="text1"/>
                <w:sz w:val="24"/>
                <w:szCs w:val="24"/>
                <w:highlight w:val="none"/>
                <w:vertAlign w:val="superscript"/>
                <w:lang w:val="en-US" w:eastAsia="zh-CN"/>
              </w:rPr>
              <w:t>2</w:t>
            </w:r>
            <w:r>
              <w:rPr>
                <w:rFonts w:hint="eastAsia" w:ascii="仿宋" w:hAnsi="仿宋" w:eastAsia="仿宋" w:cs="仿宋"/>
                <w:color w:val="000000" w:themeColor="text1"/>
                <w:sz w:val="24"/>
                <w:szCs w:val="24"/>
                <w:highlight w:val="none"/>
                <w:lang w:val="en-US" w:eastAsia="zh-CN"/>
              </w:rPr>
              <w:t>一般工业固体废物贮存区以及废气处理设施</w:t>
            </w:r>
            <w:r>
              <w:rPr>
                <w:rFonts w:hint="eastAsia" w:ascii="仿宋" w:hAnsi="仿宋" w:eastAsia="仿宋" w:cs="仿宋"/>
                <w:color w:val="000000" w:themeColor="text1"/>
                <w:sz w:val="24"/>
                <w:szCs w:val="24"/>
                <w:lang w:val="en-US" w:eastAsia="zh-CN"/>
              </w:rPr>
              <w:t>。其他工程依托现有。</w:t>
            </w:r>
            <w:r>
              <w:rPr>
                <w:rFonts w:hint="eastAsia" w:ascii="仿宋" w:hAnsi="仿宋" w:eastAsia="仿宋" w:cs="仿宋"/>
                <w:sz w:val="24"/>
                <w:szCs w:val="24"/>
                <w:lang w:val="en-US" w:eastAsia="zh-CN"/>
              </w:rPr>
              <w:t>本项目不新增劳动定员，年工作350天，四班三运转制，每班8小时。本项目依托现有1台2t/h燃气锅炉为办公楼和厂房供暖。</w:t>
            </w:r>
          </w:p>
        </w:tc>
      </w:tr>
      <w:tr w14:paraId="3BFE4A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4" w:hRule="atLeast"/>
          <w:jc w:val="center"/>
        </w:trPr>
        <w:tc>
          <w:tcPr>
            <w:tcW w:w="8522" w:type="dxa"/>
            <w:gridSpan w:val="4"/>
            <w:tcBorders>
              <w:top w:val="single" w:color="auto" w:sz="4" w:space="0"/>
              <w:left w:val="single" w:color="auto" w:sz="8" w:space="0"/>
              <w:bottom w:val="single" w:color="auto" w:sz="4" w:space="0"/>
              <w:right w:val="single" w:color="auto" w:sz="8" w:space="0"/>
            </w:tcBorders>
          </w:tcPr>
          <w:p w14:paraId="2A6BA3D4">
            <w:pPr>
              <w:adjustRightInd w:val="0"/>
              <w:snapToGrid w:val="0"/>
              <w:spacing w:line="460" w:lineRule="exact"/>
              <w:rPr>
                <w:rFonts w:ascii="仿宋_GB2312" w:hAnsi="宋体" w:eastAsia="仿宋_GB2312" w:cs="仿宋_GB2312"/>
                <w:b/>
                <w:sz w:val="24"/>
                <w:szCs w:val="24"/>
              </w:rPr>
            </w:pPr>
            <w:r>
              <w:rPr>
                <w:rFonts w:hint="eastAsia" w:ascii="仿宋_GB2312" w:hAnsi="宋体" w:eastAsia="仿宋_GB2312" w:cs="仿宋_GB2312"/>
                <w:b/>
                <w:sz w:val="24"/>
                <w:szCs w:val="24"/>
              </w:rPr>
              <w:t>环评文件提出的主要环境污染及生态破坏防治设施和措施简述（主要污染源采用的环保设施（措施）及效率、处理后污染物排放标准和排放总量、排放去向，采用的主要环境风险防治措施）：</w:t>
            </w:r>
          </w:p>
          <w:p w14:paraId="08CC977C">
            <w:pPr>
              <w:pStyle w:val="4"/>
              <w:tabs>
                <w:tab w:val="left" w:pos="0"/>
                <w:tab w:val="left" w:pos="1260"/>
              </w:tabs>
              <w:spacing w:line="460" w:lineRule="exact"/>
              <w:ind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1.废气：</w:t>
            </w:r>
          </w:p>
          <w:p w14:paraId="7ED60885">
            <w:pPr>
              <w:pStyle w:val="4"/>
              <w:tabs>
                <w:tab w:val="left" w:pos="0"/>
                <w:tab w:val="left" w:pos="1260"/>
              </w:tabs>
              <w:spacing w:line="460" w:lineRule="exact"/>
              <w:ind w:firstLine="480" w:firstLineChars="200"/>
              <w:rPr>
                <w:rFonts w:hint="eastAsia" w:ascii="仿宋" w:hAnsi="仿宋" w:eastAsia="仿宋" w:cs="仿宋"/>
                <w:bCs/>
                <w:color w:val="000000" w:themeColor="text1"/>
                <w:spacing w:val="0"/>
                <w:sz w:val="24"/>
                <w:szCs w:val="24"/>
                <w:highlight w:val="none"/>
                <w:lang w:val="en-US" w:eastAsia="zh-CN"/>
              </w:rPr>
            </w:pPr>
            <w:r>
              <w:rPr>
                <w:rFonts w:hint="eastAsia" w:ascii="仿宋" w:hAnsi="仿宋" w:eastAsia="仿宋" w:cs="Times New Roman"/>
                <w:sz w:val="24"/>
                <w:szCs w:val="24"/>
                <w:lang w:val="en-US" w:eastAsia="zh-CN"/>
              </w:rPr>
              <w:t>本项目和现有项目喷涂设备、</w:t>
            </w:r>
            <w:r>
              <w:rPr>
                <w:rFonts w:hint="eastAsia" w:ascii="仿宋" w:hAnsi="仿宋" w:eastAsia="仿宋" w:cs="仿宋"/>
                <w:bCs/>
                <w:color w:val="000000" w:themeColor="text1"/>
                <w:spacing w:val="0"/>
                <w:sz w:val="24"/>
                <w:szCs w:val="24"/>
                <w:highlight w:val="none"/>
                <w:vertAlign w:val="baseline"/>
                <w:lang w:val="en-US" w:eastAsia="zh-CN"/>
              </w:rPr>
              <w:t>浸涂设备、网筐烘干设备、调漆间上方均设集气罩，4台网带通过式燃气烘干炉进、出料口设集气罩，</w:t>
            </w:r>
            <w:r>
              <w:rPr>
                <w:rFonts w:hint="eastAsia" w:ascii="仿宋" w:hAnsi="仿宋" w:eastAsia="仿宋" w:cs="仿宋"/>
                <w:bCs/>
                <w:color w:val="000000" w:themeColor="text1"/>
                <w:sz w:val="24"/>
                <w:szCs w:val="24"/>
                <w:u w:val="none" w:color="auto"/>
                <w:lang w:val="en-US" w:eastAsia="zh-CN"/>
              </w:rPr>
              <w:t>调漆过程在封闭调漆间内进行，并设集气管道。</w:t>
            </w:r>
            <w:r>
              <w:rPr>
                <w:rFonts w:hint="eastAsia" w:ascii="仿宋" w:hAnsi="仿宋" w:eastAsia="仿宋" w:cs="仿宋"/>
                <w:smallCaps w:val="0"/>
                <w:sz w:val="24"/>
                <w:szCs w:val="24"/>
                <w:lang w:val="en-US" w:eastAsia="zh-CN"/>
              </w:rPr>
              <w:t>抛丸机作业时设备密闭，抛丸粉尘经自带布袋除尘设施处理，和水洗后烘干废气共同通过密闭管道引至楼顶布袋除尘器处理后，经40m高排气筒（DA007）排放</w:t>
            </w:r>
            <w:r>
              <w:rPr>
                <w:rFonts w:hint="eastAsia" w:ascii="仿宋" w:hAnsi="仿宋" w:eastAsia="仿宋" w:cs="仿宋"/>
                <w:bCs/>
                <w:color w:val="000000" w:themeColor="text1"/>
                <w:spacing w:val="0"/>
                <w:sz w:val="24"/>
                <w:szCs w:val="24"/>
                <w:highlight w:val="none"/>
                <w:u w:val="none"/>
                <w:lang w:val="en-US" w:eastAsia="zh-CN"/>
              </w:rPr>
              <w:t>；</w:t>
            </w:r>
            <w:r>
              <w:rPr>
                <w:rFonts w:hint="eastAsia" w:ascii="仿宋" w:hAnsi="仿宋" w:eastAsia="仿宋" w:cs="仿宋"/>
                <w:bCs/>
                <w:color w:val="000000" w:themeColor="text1"/>
                <w:spacing w:val="0"/>
                <w:sz w:val="24"/>
                <w:szCs w:val="24"/>
                <w:highlight w:val="none"/>
                <w:lang w:val="en-US" w:eastAsia="zh-CN"/>
              </w:rPr>
              <w:t>喷涂颗粒物（漆雾）收集</w:t>
            </w:r>
            <w:r>
              <w:rPr>
                <w:rFonts w:hint="eastAsia" w:ascii="仿宋" w:hAnsi="仿宋" w:eastAsia="仿宋" w:cs="仿宋"/>
                <w:smallCaps w:val="0"/>
                <w:sz w:val="24"/>
                <w:szCs w:val="24"/>
                <w:lang w:val="en-US" w:eastAsia="zh-CN"/>
              </w:rPr>
              <w:t>后，</w:t>
            </w:r>
            <w:r>
              <w:rPr>
                <w:rFonts w:hint="eastAsia" w:ascii="仿宋" w:hAnsi="仿宋" w:eastAsia="仿宋" w:cs="仿宋"/>
                <w:bCs/>
                <w:color w:val="000000" w:themeColor="text1"/>
                <w:spacing w:val="0"/>
                <w:sz w:val="24"/>
                <w:szCs w:val="24"/>
                <w:highlight w:val="none"/>
                <w:lang w:val="en-US" w:eastAsia="zh-CN"/>
              </w:rPr>
              <w:t>经过滤棉过滤处理后引至楼顶40m高排气筒（DA008）排放</w:t>
            </w:r>
            <w:r>
              <w:rPr>
                <w:rFonts w:hint="eastAsia" w:ascii="仿宋" w:hAnsi="仿宋" w:eastAsia="仿宋" w:cs="仿宋"/>
                <w:bCs/>
                <w:color w:val="000000" w:themeColor="text1"/>
                <w:spacing w:val="0"/>
                <w:sz w:val="24"/>
                <w:szCs w:val="24"/>
                <w:highlight w:val="none"/>
                <w:vertAlign w:val="baseline"/>
                <w:lang w:val="en-US" w:eastAsia="zh-CN"/>
              </w:rPr>
              <w:t>；</w:t>
            </w:r>
            <w:r>
              <w:rPr>
                <w:rFonts w:hint="eastAsia" w:ascii="仿宋" w:hAnsi="仿宋" w:eastAsia="仿宋" w:cs="仿宋"/>
                <w:bCs/>
                <w:color w:val="000000" w:themeColor="text1"/>
                <w:sz w:val="24"/>
                <w:szCs w:val="24"/>
                <w:u w:val="none" w:color="auto"/>
                <w:lang w:val="en-US" w:eastAsia="zh-CN"/>
              </w:rPr>
              <w:t>调漆、涂覆、烘干废气</w:t>
            </w:r>
            <w:r>
              <w:rPr>
                <w:rFonts w:hint="eastAsia" w:ascii="仿宋" w:hAnsi="仿宋" w:eastAsia="仿宋" w:cs="仿宋"/>
                <w:bCs/>
                <w:color w:val="000000" w:themeColor="text1"/>
                <w:spacing w:val="0"/>
                <w:sz w:val="24"/>
                <w:szCs w:val="24"/>
                <w:highlight w:val="none"/>
                <w:lang w:val="en-US" w:eastAsia="zh-CN"/>
              </w:rPr>
              <w:t>经过集气设施收集，</w:t>
            </w:r>
            <w:r>
              <w:rPr>
                <w:rFonts w:hint="eastAsia" w:ascii="仿宋" w:hAnsi="仿宋" w:eastAsia="仿宋" w:cs="仿宋"/>
                <w:bCs/>
                <w:color w:val="000000" w:themeColor="text1"/>
                <w:sz w:val="24"/>
                <w:szCs w:val="24"/>
                <w:u w:val="none" w:color="auto"/>
                <w:lang w:val="en-US" w:eastAsia="zh-CN"/>
              </w:rPr>
              <w:t>引至活性炭吸附处理</w:t>
            </w:r>
            <w:r>
              <w:rPr>
                <w:rFonts w:hint="eastAsia" w:ascii="仿宋" w:hAnsi="仿宋" w:eastAsia="仿宋" w:cs="仿宋"/>
                <w:bCs/>
                <w:color w:val="000000" w:themeColor="text1"/>
                <w:spacing w:val="0"/>
                <w:sz w:val="24"/>
                <w:szCs w:val="24"/>
                <w:highlight w:val="none"/>
                <w:lang w:val="en-US" w:eastAsia="zh-CN"/>
              </w:rPr>
              <w:t>后经</w:t>
            </w:r>
            <w:r>
              <w:rPr>
                <w:rFonts w:hint="eastAsia" w:ascii="仿宋" w:hAnsi="仿宋" w:eastAsia="仿宋" w:cs="仿宋"/>
                <w:bCs/>
                <w:color w:val="000000" w:themeColor="text1"/>
                <w:sz w:val="24"/>
                <w:szCs w:val="24"/>
                <w:u w:val="none" w:color="auto"/>
                <w:lang w:val="en-US" w:eastAsia="zh-CN"/>
              </w:rPr>
              <w:t>40m高排气筒排放（DA008）。</w:t>
            </w:r>
          </w:p>
          <w:p w14:paraId="67BB4F6F">
            <w:pPr>
              <w:pStyle w:val="4"/>
              <w:tabs>
                <w:tab w:val="left" w:pos="0"/>
                <w:tab w:val="left" w:pos="1260"/>
              </w:tabs>
              <w:spacing w:line="460" w:lineRule="exact"/>
              <w:ind w:firstLine="480" w:firstLineChars="200"/>
              <w:rPr>
                <w:rFonts w:hint="default"/>
                <w:lang w:val="en-US" w:eastAsia="zh-CN"/>
              </w:rPr>
            </w:pPr>
            <w:r>
              <w:rPr>
                <w:rFonts w:hint="eastAsia" w:ascii="仿宋" w:hAnsi="仿宋" w:eastAsia="仿宋" w:cs="仿宋"/>
                <w:bCs/>
                <w:color w:val="000000" w:themeColor="text1"/>
                <w:spacing w:val="0"/>
                <w:sz w:val="24"/>
                <w:szCs w:val="24"/>
                <w:highlight w:val="none"/>
                <w:lang w:val="en-US" w:eastAsia="zh-CN"/>
              </w:rPr>
              <w:t>本项目抛丸粉尘颗粒物有组织排放执行《大</w:t>
            </w:r>
            <w:r>
              <w:rPr>
                <w:rFonts w:hint="eastAsia" w:ascii="仿宋" w:hAnsi="仿宋" w:eastAsia="仿宋"/>
                <w:sz w:val="24"/>
                <w:szCs w:val="24"/>
                <w:lang w:val="en-US" w:eastAsia="zh-CN"/>
              </w:rPr>
              <w:t>气污染物综合排放标准》（GB16297-1996）表2中二级标准要求；浸涂、喷涂、烘干废气中</w:t>
            </w:r>
            <w:r>
              <w:rPr>
                <w:rFonts w:hint="default" w:ascii="仿宋" w:hAnsi="仿宋" w:eastAsia="仿宋"/>
                <w:sz w:val="24"/>
                <w:szCs w:val="24"/>
                <w:lang w:val="en-US" w:eastAsia="zh-CN"/>
              </w:rPr>
              <w:t>颗粒物、二氧化硫、氮氧化物、非甲烷总烃</w:t>
            </w:r>
            <w:r>
              <w:rPr>
                <w:rFonts w:hint="eastAsia" w:ascii="仿宋" w:hAnsi="仿宋" w:eastAsia="仿宋"/>
                <w:sz w:val="24"/>
                <w:szCs w:val="24"/>
                <w:lang w:val="en-US" w:eastAsia="zh-CN"/>
              </w:rPr>
              <w:t>（甲醇、二甲苯以非甲烷总烃计）</w:t>
            </w:r>
            <w:r>
              <w:rPr>
                <w:rFonts w:hint="default" w:ascii="仿宋" w:hAnsi="仿宋" w:eastAsia="仿宋"/>
                <w:sz w:val="24"/>
                <w:szCs w:val="24"/>
                <w:lang w:val="en-US" w:eastAsia="zh-CN"/>
              </w:rPr>
              <w:t>有组织排放执行《大气污染物综合排放标准》（GB16297-1996）表2中二级标准要求</w:t>
            </w:r>
            <w:r>
              <w:rPr>
                <w:rFonts w:hint="eastAsia" w:ascii="仿宋" w:hAnsi="仿宋" w:eastAsia="仿宋"/>
                <w:sz w:val="24"/>
                <w:szCs w:val="24"/>
                <w:lang w:val="en-US" w:eastAsia="zh-CN"/>
              </w:rPr>
              <w:t>；水洗后烘干废气中颗粒物有组织排放从严执行《大气污染物综合排放标准》（GB16297-1996）表2中二级标准要求，SO</w:t>
            </w:r>
            <w:r>
              <w:rPr>
                <w:rFonts w:hint="eastAsia" w:ascii="仿宋" w:hAnsi="仿宋" w:eastAsia="仿宋"/>
                <w:sz w:val="24"/>
                <w:szCs w:val="24"/>
                <w:vertAlign w:val="subscript"/>
                <w:lang w:val="en-US" w:eastAsia="zh-CN"/>
              </w:rPr>
              <w:t>2</w:t>
            </w:r>
            <w:r>
              <w:rPr>
                <w:rFonts w:hint="eastAsia" w:ascii="仿宋" w:hAnsi="仿宋" w:eastAsia="仿宋"/>
                <w:sz w:val="24"/>
                <w:szCs w:val="24"/>
                <w:lang w:val="en-US" w:eastAsia="zh-CN"/>
              </w:rPr>
              <w:t>、NOx执行《大气污染物综合排放标准》（GB16297-1996）表2中二级标准要求，烟气黑度执行《工业炉窑大气污染物排放标准》（GB9078-1996）二级标准要求；厂界无组织颗粒物和非甲烷总烃执行《大气污染物综合排放标准》（GB16297-1996）中厂界浓度限值要求；</w:t>
            </w:r>
            <w:r>
              <w:rPr>
                <w:rFonts w:hint="default" w:ascii="仿宋" w:hAnsi="仿宋" w:eastAsia="仿宋"/>
                <w:sz w:val="24"/>
                <w:szCs w:val="24"/>
                <w:lang w:val="en-US" w:eastAsia="zh-CN"/>
              </w:rPr>
              <w:t>厂区内VOC</w:t>
            </w:r>
            <w:r>
              <w:rPr>
                <w:rFonts w:hint="default" w:ascii="仿宋" w:hAnsi="仿宋" w:eastAsia="仿宋"/>
                <w:sz w:val="24"/>
                <w:szCs w:val="24"/>
                <w:vertAlign w:val="baseline"/>
                <w:lang w:val="en-US" w:eastAsia="zh-CN"/>
              </w:rPr>
              <w:t>S</w:t>
            </w:r>
            <w:r>
              <w:rPr>
                <w:rFonts w:hint="default" w:ascii="仿宋" w:hAnsi="仿宋" w:eastAsia="仿宋"/>
                <w:sz w:val="24"/>
                <w:szCs w:val="24"/>
                <w:lang w:val="en-US" w:eastAsia="zh-CN"/>
              </w:rPr>
              <w:t>无组织排放执行《挥发性有机物无组织排放控制标准》（GB37822-2019）中附录A排放限值要求</w:t>
            </w:r>
            <w:r>
              <w:rPr>
                <w:rFonts w:hint="eastAsia" w:ascii="仿宋" w:hAnsi="仿宋" w:eastAsia="仿宋"/>
                <w:sz w:val="24"/>
                <w:szCs w:val="24"/>
                <w:lang w:val="en-US" w:eastAsia="zh-CN"/>
              </w:rPr>
              <w:t>。</w:t>
            </w:r>
          </w:p>
          <w:p w14:paraId="07983BBE">
            <w:pPr>
              <w:pStyle w:val="4"/>
              <w:tabs>
                <w:tab w:val="left" w:pos="0"/>
                <w:tab w:val="left" w:pos="1260"/>
              </w:tabs>
              <w:spacing w:line="460" w:lineRule="exact"/>
              <w:ind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2.废水：</w:t>
            </w:r>
          </w:p>
          <w:p w14:paraId="4631BB5D">
            <w:pPr>
              <w:keepNext w:val="0"/>
              <w:keepLines w:val="0"/>
              <w:suppressLineNumbers w:val="0"/>
              <w:spacing w:before="0" w:beforeAutospacing="0" w:after="0" w:afterAutospacing="0" w:line="360" w:lineRule="auto"/>
              <w:ind w:left="0" w:right="0" w:firstLine="480" w:firstLineChars="200"/>
              <w:rPr>
                <w:rFonts w:hint="default" w:ascii="仿宋" w:hAnsi="仿宋" w:eastAsia="仿宋" w:cs="Times New Roman"/>
                <w:sz w:val="24"/>
                <w:szCs w:val="24"/>
                <w:lang w:val="zh-CN" w:eastAsia="zh-CN"/>
              </w:rPr>
            </w:pPr>
            <w:r>
              <w:rPr>
                <w:rFonts w:hint="eastAsia" w:ascii="仿宋" w:hAnsi="仿宋" w:eastAsia="仿宋" w:cs="Times New Roman"/>
                <w:sz w:val="24"/>
                <w:szCs w:val="24"/>
                <w:lang w:val="en-US" w:eastAsia="zh-CN"/>
              </w:rPr>
              <w:t>本项目金属零件碱洗后废水排入储罐，经pH值调节后，与厂内其他生产废水共</w:t>
            </w:r>
            <w:r>
              <w:rPr>
                <w:rFonts w:hint="eastAsia" w:ascii="仿宋" w:hAnsi="仿宋" w:eastAsia="仿宋" w:cs="仿宋"/>
                <w:sz w:val="24"/>
                <w:szCs w:val="24"/>
                <w:lang w:val="en-US" w:eastAsia="zh-CN"/>
              </w:rPr>
              <w:t>同依托厂区现有污水处理设施进行处理，</w:t>
            </w:r>
            <w:r>
              <w:rPr>
                <w:rFonts w:hint="default" w:ascii="仿宋" w:hAnsi="仿宋" w:eastAsia="仿宋" w:cs="仿宋"/>
                <w:sz w:val="24"/>
                <w:szCs w:val="24"/>
                <w:lang w:val="en-US" w:eastAsia="zh-CN"/>
              </w:rPr>
              <w:t>厂区废水通过厂区排放口</w:t>
            </w:r>
            <w:r>
              <w:rPr>
                <w:rFonts w:hint="eastAsia" w:ascii="仿宋" w:hAnsi="仿宋" w:eastAsia="仿宋" w:cs="仿宋"/>
                <w:sz w:val="24"/>
                <w:szCs w:val="24"/>
                <w:lang w:val="en-US" w:eastAsia="zh-CN"/>
              </w:rPr>
              <w:t>（</w:t>
            </w:r>
            <w:r>
              <w:rPr>
                <w:rFonts w:hint="default" w:ascii="仿宋" w:hAnsi="仿宋" w:eastAsia="仿宋" w:cs="仿宋"/>
                <w:sz w:val="24"/>
                <w:szCs w:val="24"/>
                <w:lang w:val="en-US" w:eastAsia="zh-CN"/>
              </w:rPr>
              <w:t>DW002</w:t>
            </w:r>
            <w:r>
              <w:rPr>
                <w:rFonts w:hint="eastAsia" w:ascii="仿宋" w:hAnsi="仿宋" w:eastAsia="仿宋" w:cs="仿宋"/>
                <w:sz w:val="24"/>
                <w:szCs w:val="24"/>
                <w:lang w:val="en-US" w:eastAsia="zh-CN"/>
              </w:rPr>
              <w:t>）排入吉林化工园区污水处理厂，处理达标后排入松花江。生产废水排放执行吉林化工园区污水处理厂污水处理协议要求，协议中未规定的污染物排放浓</w:t>
            </w:r>
            <w:r>
              <w:rPr>
                <w:rFonts w:hint="eastAsia" w:ascii="仿宋" w:hAnsi="仿宋" w:eastAsia="仿宋" w:cs="Times New Roman"/>
                <w:sz w:val="24"/>
                <w:szCs w:val="24"/>
                <w:lang w:val="en-US" w:eastAsia="zh-CN"/>
              </w:rPr>
              <w:t>度满足《污水排入城镇下水道水质标准》（GB/T31962-2015）中A级排放限值要求</w:t>
            </w:r>
            <w:r>
              <w:rPr>
                <w:rFonts w:hint="default" w:ascii="仿宋" w:hAnsi="仿宋" w:eastAsia="仿宋" w:cs="Times New Roman"/>
                <w:sz w:val="24"/>
                <w:szCs w:val="24"/>
                <w:lang w:val="en-US" w:eastAsia="zh-CN"/>
              </w:rPr>
              <w:t>。</w:t>
            </w:r>
          </w:p>
          <w:p w14:paraId="5BE864C9">
            <w:pPr>
              <w:pStyle w:val="4"/>
              <w:tabs>
                <w:tab w:val="left" w:pos="0"/>
                <w:tab w:val="left" w:pos="1260"/>
              </w:tabs>
              <w:spacing w:line="460" w:lineRule="exact"/>
              <w:ind w:firstLine="480" w:firstLineChars="200"/>
              <w:rPr>
                <w:rFonts w:hint="eastAsia" w:ascii="仿宋" w:hAnsi="仿宋" w:eastAsia="仿宋"/>
                <w:sz w:val="24"/>
                <w:szCs w:val="24"/>
                <w:lang w:val="en-US" w:eastAsia="zh-CN"/>
              </w:rPr>
            </w:pPr>
            <w:r>
              <w:rPr>
                <w:rFonts w:hint="eastAsia" w:ascii="仿宋" w:hAnsi="仿宋" w:eastAsia="仿宋"/>
                <w:sz w:val="24"/>
                <w:szCs w:val="24"/>
                <w:lang w:val="en-US" w:eastAsia="zh-CN"/>
              </w:rPr>
              <w:t>3.噪声：</w:t>
            </w:r>
          </w:p>
          <w:p w14:paraId="2B882BCE">
            <w:pPr>
              <w:pStyle w:val="4"/>
              <w:tabs>
                <w:tab w:val="left" w:pos="0"/>
                <w:tab w:val="left" w:pos="1260"/>
              </w:tabs>
              <w:spacing w:line="460" w:lineRule="exact"/>
              <w:ind w:firstLine="480" w:firstLineChars="200"/>
              <w:rPr>
                <w:rFonts w:hint="eastAsia" w:ascii="仿宋" w:hAnsi="仿宋" w:eastAsia="仿宋" w:cs="Times New Roman"/>
                <w:sz w:val="24"/>
                <w:szCs w:val="24"/>
                <w:lang w:val="en-US" w:eastAsia="zh-CN"/>
              </w:rPr>
            </w:pPr>
            <w:r>
              <w:rPr>
                <w:rFonts w:hint="eastAsia" w:ascii="仿宋" w:hAnsi="仿宋" w:eastAsia="仿宋"/>
                <w:sz w:val="24"/>
                <w:szCs w:val="24"/>
                <w:lang w:val="en-US" w:eastAsia="zh-CN"/>
              </w:rPr>
              <w:t>运营期间选取低噪声设备</w:t>
            </w:r>
            <w:r>
              <w:rPr>
                <w:rFonts w:hint="eastAsia" w:ascii="仿宋" w:hAnsi="仿宋" w:eastAsia="仿宋" w:cs="Times New Roman"/>
                <w:sz w:val="24"/>
                <w:szCs w:val="24"/>
                <w:lang w:val="en-US" w:eastAsia="zh-CN"/>
              </w:rPr>
              <w:t>，通过距离衰减、基础减振、墙体隔声等措施，确保厂界噪声满足《工业企业厂界环境噪声排放标准》</w:t>
            </w:r>
            <w:r>
              <w:rPr>
                <w:rFonts w:hint="default" w:ascii="仿宋" w:hAnsi="仿宋" w:eastAsia="仿宋" w:cs="Times New Roman"/>
                <w:sz w:val="24"/>
                <w:szCs w:val="24"/>
                <w:lang w:val="en-US" w:eastAsia="zh-CN"/>
              </w:rPr>
              <w:t>（GB12348-2008）</w:t>
            </w:r>
            <w:r>
              <w:rPr>
                <w:rFonts w:hint="eastAsia" w:ascii="仿宋" w:hAnsi="仿宋" w:eastAsia="仿宋" w:cs="Times New Roman"/>
                <w:sz w:val="24"/>
                <w:szCs w:val="24"/>
                <w:lang w:val="en-US" w:eastAsia="zh-CN"/>
              </w:rPr>
              <w:t xml:space="preserve">中3类声环境功能区标准要求。 </w:t>
            </w:r>
          </w:p>
          <w:p w14:paraId="64A082BB">
            <w:pPr>
              <w:pStyle w:val="4"/>
              <w:tabs>
                <w:tab w:val="left" w:pos="0"/>
                <w:tab w:val="left" w:pos="1260"/>
              </w:tabs>
              <w:spacing w:line="460" w:lineRule="exact"/>
              <w:ind w:firstLine="480" w:firstLineChars="200"/>
              <w:rPr>
                <w:rFonts w:hint="eastAsia" w:ascii="仿宋" w:hAnsi="仿宋" w:eastAsia="仿宋"/>
                <w:sz w:val="24"/>
                <w:szCs w:val="24"/>
                <w:lang w:val="en-US" w:eastAsia="zh-CN"/>
              </w:rPr>
            </w:pPr>
            <w:r>
              <w:rPr>
                <w:rFonts w:hint="eastAsia" w:ascii="仿宋" w:hAnsi="仿宋" w:eastAsia="仿宋"/>
                <w:sz w:val="24"/>
                <w:szCs w:val="24"/>
                <w:lang w:val="en-US" w:eastAsia="zh-CN"/>
              </w:rPr>
              <w:t>4.固废：</w:t>
            </w:r>
          </w:p>
          <w:p w14:paraId="4F490334">
            <w:pPr>
              <w:pStyle w:val="4"/>
              <w:keepNext w:val="0"/>
              <w:keepLines w:val="0"/>
              <w:pageBreakBefore w:val="0"/>
              <w:widowControl w:val="0"/>
              <w:tabs>
                <w:tab w:val="left" w:pos="0"/>
                <w:tab w:val="left" w:pos="1260"/>
              </w:tabs>
              <w:kinsoku/>
              <w:wordWrap/>
              <w:overflowPunct/>
              <w:topLinePunct w:val="0"/>
              <w:autoSpaceDE/>
              <w:autoSpaceDN/>
              <w:bidi w:val="0"/>
              <w:spacing w:line="480" w:lineRule="exact"/>
              <w:ind w:firstLine="480" w:firstLineChars="200"/>
              <w:textAlignment w:val="auto"/>
              <w:rPr>
                <w:rFonts w:hint="eastAsia" w:ascii="仿宋" w:hAnsi="仿宋" w:eastAsia="仿宋" w:cs="Times New Roman"/>
                <w:sz w:val="24"/>
                <w:szCs w:val="24"/>
                <w:lang w:val="en-US" w:eastAsia="zh-CN"/>
              </w:rPr>
            </w:pPr>
            <w:r>
              <w:rPr>
                <w:rFonts w:hint="eastAsia" w:ascii="仿宋" w:hAnsi="仿宋" w:eastAsia="仿宋"/>
                <w:sz w:val="24"/>
                <w:szCs w:val="24"/>
                <w:lang w:val="en-US" w:eastAsia="zh-CN"/>
              </w:rPr>
              <w:t>碱洗分离废油、废槽</w:t>
            </w:r>
            <w:r>
              <w:rPr>
                <w:rFonts w:hint="eastAsia" w:ascii="仿宋" w:hAnsi="仿宋" w:eastAsia="仿宋" w:cs="Times New Roman"/>
                <w:kern w:val="2"/>
                <w:sz w:val="24"/>
                <w:szCs w:val="24"/>
                <w:lang w:val="en-US" w:eastAsia="zh-CN" w:bidi="ar-SA"/>
              </w:rPr>
              <w:t>液、</w:t>
            </w:r>
            <w:r>
              <w:rPr>
                <w:rFonts w:hint="default" w:ascii="仿宋" w:hAnsi="仿宋" w:eastAsia="仿宋" w:cs="Times New Roman"/>
                <w:kern w:val="2"/>
                <w:sz w:val="24"/>
                <w:szCs w:val="24"/>
                <w:lang w:val="en-US" w:eastAsia="zh-CN" w:bidi="ar-SA"/>
              </w:rPr>
              <w:t>废活性炭</w:t>
            </w:r>
            <w:r>
              <w:rPr>
                <w:rFonts w:hint="eastAsia" w:ascii="仿宋" w:hAnsi="仿宋" w:eastAsia="仿宋" w:cs="Times New Roman"/>
                <w:kern w:val="2"/>
                <w:sz w:val="24"/>
                <w:szCs w:val="24"/>
                <w:lang w:val="en-US" w:eastAsia="zh-CN" w:bidi="ar-SA"/>
              </w:rPr>
              <w:t>、溶剂型</w:t>
            </w:r>
            <w:r>
              <w:rPr>
                <w:rFonts w:hint="default" w:ascii="仿宋" w:hAnsi="仿宋" w:eastAsia="仿宋" w:cs="Times New Roman"/>
                <w:kern w:val="2"/>
                <w:sz w:val="24"/>
                <w:szCs w:val="24"/>
                <w:lang w:val="en-US" w:eastAsia="zh-CN" w:bidi="ar-SA"/>
              </w:rPr>
              <w:t>涂料废渣</w:t>
            </w:r>
            <w:r>
              <w:rPr>
                <w:rFonts w:hint="eastAsia" w:ascii="仿宋" w:hAnsi="仿宋" w:eastAsia="仿宋" w:cs="Times New Roman"/>
                <w:kern w:val="2"/>
                <w:sz w:val="24"/>
                <w:szCs w:val="24"/>
                <w:lang w:val="en-US" w:eastAsia="zh-CN" w:bidi="ar-SA"/>
              </w:rPr>
              <w:t>、废过滤棉、水性</w:t>
            </w:r>
            <w:r>
              <w:rPr>
                <w:rFonts w:hint="default" w:ascii="仿宋" w:hAnsi="仿宋" w:eastAsia="仿宋" w:cs="Times New Roman"/>
                <w:kern w:val="2"/>
                <w:sz w:val="24"/>
                <w:szCs w:val="24"/>
                <w:lang w:val="en-US" w:eastAsia="zh-CN" w:bidi="ar-SA"/>
              </w:rPr>
              <w:t>涂料废渣</w:t>
            </w:r>
            <w:r>
              <w:rPr>
                <w:rFonts w:hint="eastAsia" w:ascii="仿宋" w:hAnsi="仿宋" w:eastAsia="仿宋" w:cs="Times New Roman"/>
                <w:kern w:val="2"/>
                <w:sz w:val="24"/>
                <w:szCs w:val="24"/>
                <w:lang w:val="en-US" w:eastAsia="zh-CN" w:bidi="ar-SA"/>
              </w:rPr>
              <w:t>，</w:t>
            </w:r>
            <w:r>
              <w:rPr>
                <w:rFonts w:hint="default" w:ascii="仿宋" w:hAnsi="仿宋" w:eastAsia="仿宋" w:cs="Times New Roman"/>
                <w:kern w:val="2"/>
                <w:sz w:val="24"/>
                <w:szCs w:val="24"/>
                <w:lang w:val="en-US" w:eastAsia="zh-CN" w:bidi="ar-SA"/>
              </w:rPr>
              <w:t>经专门密闭容器盛放，</w:t>
            </w:r>
            <w:r>
              <w:rPr>
                <w:rFonts w:hint="eastAsia" w:ascii="仿宋" w:hAnsi="仿宋" w:eastAsia="仿宋" w:cs="Times New Roman"/>
                <w:kern w:val="2"/>
                <w:sz w:val="24"/>
                <w:szCs w:val="24"/>
                <w:lang w:val="en-US" w:eastAsia="zh-CN" w:bidi="ar-SA"/>
              </w:rPr>
              <w:t>与溶剂型涂料包装桶一同暂存于现有危废贮存库，</w:t>
            </w:r>
            <w:r>
              <w:rPr>
                <w:rFonts w:hint="default" w:ascii="仿宋" w:hAnsi="仿宋" w:eastAsia="仿宋" w:cs="Times New Roman"/>
                <w:kern w:val="2"/>
                <w:sz w:val="24"/>
                <w:szCs w:val="24"/>
                <w:lang w:val="en-US" w:eastAsia="zh-CN" w:bidi="ar-SA"/>
              </w:rPr>
              <w:t>委托有资质单位</w:t>
            </w:r>
            <w:r>
              <w:rPr>
                <w:rFonts w:hint="eastAsia" w:ascii="仿宋" w:hAnsi="仿宋" w:eastAsia="仿宋" w:cs="Times New Roman"/>
                <w:kern w:val="2"/>
                <w:sz w:val="24"/>
                <w:szCs w:val="24"/>
                <w:lang w:val="en-US" w:eastAsia="zh-CN" w:bidi="ar-SA"/>
              </w:rPr>
              <w:t>处置</w:t>
            </w:r>
            <w:r>
              <w:rPr>
                <w:rFonts w:hint="default" w:ascii="仿宋" w:hAnsi="仿宋" w:eastAsia="仿宋" w:cs="Times New Roman"/>
                <w:kern w:val="2"/>
                <w:sz w:val="24"/>
                <w:szCs w:val="24"/>
                <w:lang w:val="en-US" w:eastAsia="zh-CN" w:bidi="ar-SA"/>
              </w:rPr>
              <w:t>；</w:t>
            </w:r>
            <w:r>
              <w:rPr>
                <w:rFonts w:hint="eastAsia" w:ascii="仿宋" w:hAnsi="仿宋" w:eastAsia="仿宋" w:cs="Times New Roman"/>
                <w:kern w:val="2"/>
                <w:sz w:val="24"/>
                <w:szCs w:val="24"/>
                <w:lang w:val="en-US" w:eastAsia="zh-CN" w:bidi="ar-SA"/>
              </w:rPr>
              <w:t>布袋除尘器</w:t>
            </w:r>
            <w:r>
              <w:rPr>
                <w:rFonts w:hint="default" w:ascii="仿宋" w:hAnsi="仿宋" w:eastAsia="仿宋" w:cs="Times New Roman"/>
                <w:kern w:val="2"/>
                <w:sz w:val="24"/>
                <w:szCs w:val="24"/>
                <w:lang w:val="en-US" w:eastAsia="zh-CN" w:bidi="ar-SA"/>
              </w:rPr>
              <w:t>收集</w:t>
            </w:r>
            <w:r>
              <w:rPr>
                <w:rFonts w:hint="eastAsia" w:ascii="仿宋" w:hAnsi="仿宋" w:eastAsia="仿宋" w:cs="Times New Roman"/>
                <w:kern w:val="2"/>
                <w:sz w:val="24"/>
                <w:szCs w:val="24"/>
                <w:lang w:val="en-US" w:eastAsia="zh-CN" w:bidi="ar-SA"/>
              </w:rPr>
              <w:t>粉尘，</w:t>
            </w:r>
            <w:r>
              <w:rPr>
                <w:rFonts w:hint="default" w:ascii="仿宋" w:hAnsi="仿宋" w:eastAsia="仿宋" w:cs="Times New Roman"/>
                <w:kern w:val="2"/>
                <w:sz w:val="24"/>
                <w:szCs w:val="24"/>
                <w:lang w:val="en-US" w:eastAsia="zh-CN" w:bidi="ar-SA"/>
              </w:rPr>
              <w:t>由环卫部门统一清运；废钢丸</w:t>
            </w:r>
            <w:r>
              <w:rPr>
                <w:rFonts w:hint="eastAsia" w:ascii="仿宋" w:hAnsi="仿宋" w:eastAsia="仿宋" w:cs="Times New Roman"/>
                <w:kern w:val="2"/>
                <w:sz w:val="24"/>
                <w:szCs w:val="24"/>
                <w:lang w:val="en-US" w:eastAsia="zh-CN" w:bidi="ar-SA"/>
              </w:rPr>
              <w:t>、废布袋、金属碎屑和边角料，</w:t>
            </w:r>
            <w:r>
              <w:rPr>
                <w:rFonts w:hint="default" w:ascii="仿宋" w:hAnsi="仿宋" w:eastAsia="仿宋" w:cs="Times New Roman"/>
                <w:kern w:val="2"/>
                <w:sz w:val="24"/>
                <w:szCs w:val="24"/>
                <w:lang w:val="en-US" w:eastAsia="zh-CN" w:bidi="ar-SA"/>
              </w:rPr>
              <w:t>外</w:t>
            </w:r>
            <w:r>
              <w:rPr>
                <w:rFonts w:hint="eastAsia" w:ascii="仿宋" w:hAnsi="仿宋" w:eastAsia="仿宋" w:cs="Times New Roman"/>
                <w:kern w:val="2"/>
                <w:sz w:val="24"/>
                <w:szCs w:val="24"/>
                <w:lang w:val="en-US" w:eastAsia="zh-CN" w:bidi="ar-SA"/>
              </w:rPr>
              <w:t>售资源回收部门；</w:t>
            </w:r>
            <w:r>
              <w:rPr>
                <w:rFonts w:hint="default" w:ascii="仿宋" w:hAnsi="仿宋" w:eastAsia="仿宋" w:cs="Times New Roman"/>
                <w:kern w:val="2"/>
                <w:sz w:val="24"/>
                <w:szCs w:val="24"/>
                <w:lang w:val="en-US" w:eastAsia="zh-CN" w:bidi="ar-SA"/>
              </w:rPr>
              <w:t>水性涂料桶</w:t>
            </w:r>
            <w:r>
              <w:rPr>
                <w:rFonts w:hint="eastAsia" w:ascii="仿宋" w:hAnsi="仿宋" w:eastAsia="仿宋" w:cs="Times New Roman"/>
                <w:kern w:val="2"/>
                <w:sz w:val="24"/>
                <w:szCs w:val="24"/>
                <w:lang w:val="en-US" w:eastAsia="zh-CN" w:bidi="ar-SA"/>
              </w:rPr>
              <w:t>、碱性清洗剂废包装桶分别由本单位水性锌铝涂料生产线和碱性清洗剂生产线回收重复利用；检验不合格品抛丸后重新涂覆。</w:t>
            </w:r>
            <w:r>
              <w:rPr>
                <w:rFonts w:hint="eastAsia" w:ascii="仿宋" w:hAnsi="仿宋" w:eastAsia="仿宋" w:cs="Times New Roman"/>
                <w:sz w:val="24"/>
                <w:szCs w:val="24"/>
                <w:lang w:val="en-US" w:eastAsia="zh-CN"/>
              </w:rPr>
              <w:t xml:space="preserve">本项目一般固体废物处置执行《一般工业固体废物贮存和填埋污染控制标准》（GB18599-2020）；危险废物处置执行《危险废物贮存污染控制标准》（GB18597-2023））及其修改单要求。 </w:t>
            </w:r>
          </w:p>
          <w:p w14:paraId="1A3D4D20">
            <w:pPr>
              <w:pStyle w:val="2"/>
              <w:keepNext w:val="0"/>
              <w:keepLines w:val="0"/>
              <w:pageBreakBefore w:val="0"/>
              <w:widowControl w:val="0"/>
              <w:numPr>
                <w:ilvl w:val="0"/>
                <w:numId w:val="1"/>
              </w:numPr>
              <w:suppressLineNumbers w:val="0"/>
              <w:kinsoku/>
              <w:wordWrap/>
              <w:overflowPunct/>
              <w:topLinePunct w:val="0"/>
              <w:autoSpaceDE/>
              <w:autoSpaceDN/>
              <w:bidi w:val="0"/>
              <w:adjustRightInd w:val="0"/>
              <w:snapToGrid w:val="0"/>
              <w:spacing w:before="0" w:beforeAutospacing="0" w:after="0" w:afterAutospacing="0" w:line="480" w:lineRule="exact"/>
              <w:ind w:left="0" w:leftChars="0" w:right="0" w:firstLine="480" w:firstLineChars="200"/>
              <w:textAlignment w:val="auto"/>
              <w:rPr>
                <w:rFonts w:hint="eastAsia"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环境风险防范措施：</w:t>
            </w:r>
          </w:p>
          <w:p w14:paraId="4AAB4019">
            <w:pPr>
              <w:pStyle w:val="2"/>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80" w:lineRule="exact"/>
              <w:ind w:right="0" w:rightChars="0" w:firstLine="480" w:firstLineChars="200"/>
              <w:textAlignment w:val="auto"/>
              <w:rPr>
                <w:rFonts w:hint="eastAsia" w:ascii="仿宋" w:hAnsi="仿宋" w:eastAsia="仿宋" w:cs="Times New Roman"/>
                <w:sz w:val="24"/>
                <w:szCs w:val="24"/>
                <w:lang w:val="en-US" w:eastAsia="zh-CN"/>
              </w:rPr>
            </w:pPr>
            <w:r>
              <w:rPr>
                <w:rFonts w:hint="default" w:ascii="仿宋" w:hAnsi="仿宋" w:eastAsia="仿宋" w:cs="Times New Roman"/>
                <w:kern w:val="2"/>
                <w:sz w:val="24"/>
                <w:szCs w:val="24"/>
                <w:lang w:val="en-US" w:eastAsia="zh-CN" w:bidi="ar-SA"/>
              </w:rPr>
              <w:t>原料库物料存放区设置围堰，安装</w:t>
            </w:r>
            <w:r>
              <w:rPr>
                <w:rFonts w:hint="eastAsia" w:ascii="仿宋" w:hAnsi="仿宋" w:eastAsia="仿宋" w:cs="Times New Roman"/>
                <w:kern w:val="2"/>
                <w:sz w:val="24"/>
                <w:szCs w:val="24"/>
                <w:lang w:val="en-US" w:eastAsia="zh-CN" w:bidi="ar-SA"/>
              </w:rPr>
              <w:t>天然气</w:t>
            </w:r>
            <w:r>
              <w:rPr>
                <w:rFonts w:hint="default" w:ascii="仿宋" w:hAnsi="仿宋" w:eastAsia="仿宋" w:cs="Times New Roman"/>
                <w:kern w:val="2"/>
                <w:sz w:val="24"/>
                <w:szCs w:val="24"/>
                <w:lang w:val="en-US" w:eastAsia="zh-CN" w:bidi="ar-SA"/>
              </w:rPr>
              <w:t>泄漏报警</w:t>
            </w:r>
            <w:r>
              <w:rPr>
                <w:rFonts w:hint="eastAsia" w:ascii="仿宋" w:hAnsi="仿宋" w:eastAsia="仿宋" w:cs="Times New Roman"/>
                <w:kern w:val="2"/>
                <w:sz w:val="24"/>
                <w:szCs w:val="24"/>
                <w:lang w:val="en-US" w:eastAsia="zh-CN" w:bidi="ar-SA"/>
              </w:rPr>
              <w:t>器</w:t>
            </w:r>
            <w:r>
              <w:rPr>
                <w:rFonts w:hint="default" w:ascii="仿宋" w:hAnsi="仿宋" w:eastAsia="仿宋" w:cs="Times New Roman"/>
                <w:kern w:val="2"/>
                <w:sz w:val="24"/>
                <w:szCs w:val="24"/>
                <w:lang w:val="en-US" w:eastAsia="zh-CN" w:bidi="ar-SA"/>
              </w:rPr>
              <w:t>及紧急切断阀</w:t>
            </w:r>
            <w:r>
              <w:rPr>
                <w:rFonts w:hint="eastAsia" w:ascii="仿宋" w:hAnsi="仿宋" w:eastAsia="仿宋" w:cs="Times New Roman"/>
                <w:kern w:val="2"/>
                <w:sz w:val="24"/>
                <w:szCs w:val="24"/>
                <w:lang w:val="en-US" w:eastAsia="zh-CN" w:bidi="ar-SA"/>
              </w:rPr>
              <w:t>，修订污染</w:t>
            </w:r>
            <w:r>
              <w:rPr>
                <w:rFonts w:hint="eastAsia" w:ascii="仿宋" w:hAnsi="仿宋" w:eastAsia="仿宋" w:cs="Times New Roman"/>
                <w:sz w:val="24"/>
                <w:szCs w:val="24"/>
                <w:lang w:val="en-US" w:eastAsia="zh-CN"/>
              </w:rPr>
              <w:t>事故防范和处理应急预案，提高事故风险防范和污染控制能力。</w:t>
            </w:r>
          </w:p>
          <w:p w14:paraId="13605737">
            <w:pPr>
              <w:pStyle w:val="4"/>
              <w:keepNext w:val="0"/>
              <w:keepLines w:val="0"/>
              <w:pageBreakBefore w:val="0"/>
              <w:widowControl w:val="0"/>
              <w:numPr>
                <w:ilvl w:val="0"/>
                <w:numId w:val="0"/>
              </w:numPr>
              <w:tabs>
                <w:tab w:val="left" w:pos="0"/>
                <w:tab w:val="left" w:pos="1260"/>
              </w:tabs>
              <w:kinsoku/>
              <w:wordWrap/>
              <w:overflowPunct/>
              <w:topLinePunct w:val="0"/>
              <w:autoSpaceDE/>
              <w:autoSpaceDN/>
              <w:bidi w:val="0"/>
              <w:spacing w:line="480" w:lineRule="exact"/>
              <w:ind w:firstLine="480" w:firstLineChars="200"/>
              <w:textAlignment w:val="auto"/>
              <w:rPr>
                <w:rFonts w:hint="default"/>
                <w:lang w:val="en-US" w:eastAsia="zh-CN"/>
              </w:rPr>
            </w:pPr>
            <w:r>
              <w:rPr>
                <w:rFonts w:hint="eastAsia" w:ascii="仿宋" w:hAnsi="仿宋" w:eastAsia="仿宋" w:cs="Times New Roman"/>
                <w:sz w:val="24"/>
                <w:szCs w:val="24"/>
                <w:lang w:val="en-US" w:eastAsia="zh-CN"/>
              </w:rPr>
              <w:t>6.落实各项监测计划。</w:t>
            </w:r>
          </w:p>
        </w:tc>
      </w:tr>
      <w:tr w14:paraId="087208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97" w:hRule="atLeast"/>
          <w:jc w:val="center"/>
        </w:trPr>
        <w:tc>
          <w:tcPr>
            <w:tcW w:w="8522" w:type="dxa"/>
            <w:gridSpan w:val="4"/>
            <w:tcBorders>
              <w:top w:val="single" w:color="auto" w:sz="4" w:space="0"/>
              <w:left w:val="single" w:color="auto" w:sz="8" w:space="0"/>
              <w:bottom w:val="single" w:color="auto" w:sz="8" w:space="0"/>
              <w:right w:val="single" w:color="auto" w:sz="8" w:space="0"/>
            </w:tcBorders>
            <w:vAlign w:val="center"/>
          </w:tcPr>
          <w:p w14:paraId="3699A1DC">
            <w:pPr>
              <w:pStyle w:val="2"/>
              <w:spacing w:line="360" w:lineRule="auto"/>
              <w:ind w:left="0" w:leftChars="0"/>
              <w:rPr>
                <w:rFonts w:hint="eastAsia" w:ascii="仿宋" w:hAnsi="仿宋" w:eastAsia="仿宋" w:cs="仿宋"/>
                <w:bCs/>
                <w:color w:val="000000"/>
                <w:kern w:val="0"/>
                <w:sz w:val="24"/>
                <w:szCs w:val="24"/>
                <w:lang w:val="en-US" w:eastAsia="zh-CN"/>
              </w:rPr>
            </w:pPr>
            <w:r>
              <w:rPr>
                <w:rFonts w:hint="eastAsia" w:ascii="仿宋" w:hAnsi="仿宋" w:eastAsia="仿宋" w:cs="仿宋"/>
                <w:bCs/>
                <w:color w:val="000000"/>
                <w:kern w:val="0"/>
                <w:sz w:val="24"/>
                <w:szCs w:val="24"/>
                <w:lang w:val="en-US" w:eastAsia="zh-CN"/>
              </w:rPr>
              <w:t>一、该项目环境影响报告表已经完成告知承诺制审批。对项目的环境管理要求按照环境保护法律法规的规定执行。</w:t>
            </w:r>
          </w:p>
          <w:p w14:paraId="3A7F4F40">
            <w:pPr>
              <w:pStyle w:val="2"/>
              <w:spacing w:line="360" w:lineRule="auto"/>
              <w:ind w:left="0" w:leftChars="0"/>
              <w:rPr>
                <w:rFonts w:hint="eastAsia" w:ascii="仿宋" w:hAnsi="仿宋" w:eastAsia="仿宋" w:cs="仿宋"/>
                <w:bCs/>
                <w:color w:val="000000"/>
                <w:kern w:val="0"/>
                <w:sz w:val="24"/>
                <w:szCs w:val="24"/>
                <w:lang w:val="en-US" w:eastAsia="zh-CN"/>
              </w:rPr>
            </w:pPr>
            <w:r>
              <w:rPr>
                <w:rFonts w:hint="eastAsia" w:ascii="仿宋" w:hAnsi="仿宋" w:eastAsia="仿宋" w:cs="仿宋"/>
                <w:bCs/>
                <w:color w:val="000000"/>
                <w:kern w:val="0"/>
                <w:sz w:val="24"/>
                <w:szCs w:val="24"/>
                <w:lang w:val="en-US" w:eastAsia="zh-CN"/>
              </w:rPr>
              <w:t>二、由吉林市生态环境保护综合行政执法支队龙潭大队负责按照《建设项目环境保护事中事后监督管理办法（试行）》（环发〔2015〕163号）的规定，进行本建设项目事中事后的环境监督管理工作。</w:t>
            </w:r>
          </w:p>
          <w:p w14:paraId="7024E967">
            <w:pPr>
              <w:pStyle w:val="2"/>
              <w:spacing w:line="360" w:lineRule="auto"/>
              <w:ind w:left="0" w:leftChars="0"/>
              <w:rPr>
                <w:rFonts w:hint="eastAsia" w:ascii="仿宋" w:hAnsi="仿宋" w:eastAsia="仿宋" w:cs="仿宋"/>
                <w:bCs/>
                <w:color w:val="000000"/>
                <w:kern w:val="0"/>
                <w:sz w:val="24"/>
                <w:szCs w:val="24"/>
                <w:lang w:val="en-US" w:eastAsia="zh-CN"/>
              </w:rPr>
            </w:pPr>
            <w:r>
              <w:rPr>
                <w:rFonts w:hint="eastAsia" w:ascii="仿宋" w:hAnsi="仿宋" w:eastAsia="仿宋" w:cs="仿宋"/>
                <w:bCs/>
                <w:color w:val="000000"/>
                <w:kern w:val="0"/>
                <w:sz w:val="24"/>
                <w:szCs w:val="24"/>
                <w:lang w:val="en-US" w:eastAsia="zh-CN"/>
              </w:rPr>
              <w:t>三、如项目不符合相关规划和产业政策要求，或存在《吉林省生态环境厅关于实施建设项目环境影响评价文件告知承诺制审批改革试点的通知》（吉环环评字〔2019〕18号）第五条第（六）款情形，本告知承诺制审批表无效。</w:t>
            </w:r>
          </w:p>
          <w:p w14:paraId="4DB280FA">
            <w:pPr>
              <w:pStyle w:val="2"/>
              <w:spacing w:line="360" w:lineRule="auto"/>
              <w:ind w:left="0" w:leftChars="0"/>
              <w:rPr>
                <w:rFonts w:hint="eastAsia" w:ascii="仿宋" w:hAnsi="仿宋" w:eastAsia="仿宋" w:cs="仿宋"/>
                <w:bCs/>
                <w:color w:val="000000"/>
                <w:kern w:val="0"/>
                <w:sz w:val="24"/>
                <w:szCs w:val="24"/>
                <w:lang w:val="zh-TW" w:eastAsia="zh-CN"/>
              </w:rPr>
            </w:pPr>
          </w:p>
          <w:p w14:paraId="3CD9A562">
            <w:pPr>
              <w:rPr>
                <w:rFonts w:hint="eastAsia" w:ascii="仿宋" w:hAnsi="仿宋" w:eastAsia="仿宋" w:cs="仿宋"/>
                <w:bCs/>
                <w:color w:val="000000"/>
                <w:kern w:val="0"/>
                <w:sz w:val="24"/>
                <w:szCs w:val="24"/>
                <w:lang w:val="zh-TW" w:eastAsia="zh-CN"/>
              </w:rPr>
            </w:pPr>
          </w:p>
          <w:p w14:paraId="415F1C5E">
            <w:pPr>
              <w:pStyle w:val="2"/>
              <w:rPr>
                <w:rFonts w:hint="eastAsia"/>
                <w:lang w:val="zh-TW" w:eastAsia="zh-CN"/>
              </w:rPr>
            </w:pPr>
          </w:p>
          <w:p w14:paraId="73A8BAC9">
            <w:pPr>
              <w:rPr>
                <w:rFonts w:hint="eastAsia" w:ascii="仿宋" w:hAnsi="仿宋" w:eastAsia="仿宋" w:cs="仿宋"/>
                <w:bCs/>
                <w:color w:val="000000"/>
                <w:kern w:val="0"/>
                <w:sz w:val="24"/>
                <w:szCs w:val="24"/>
                <w:lang w:val="zh-TW" w:eastAsia="zh-CN"/>
              </w:rPr>
            </w:pPr>
          </w:p>
          <w:p w14:paraId="2A93420B">
            <w:pPr>
              <w:pStyle w:val="2"/>
              <w:spacing w:line="360" w:lineRule="auto"/>
              <w:ind w:left="0" w:leftChars="0"/>
              <w:rPr>
                <w:rFonts w:hint="eastAsia" w:ascii="仿宋" w:hAnsi="仿宋" w:eastAsia="仿宋" w:cs="仿宋"/>
                <w:bCs/>
                <w:color w:val="000000"/>
                <w:kern w:val="0"/>
                <w:sz w:val="24"/>
                <w:szCs w:val="24"/>
                <w:lang w:val="zh-TW" w:eastAsia="zh-CN"/>
              </w:rPr>
            </w:pPr>
            <w:r>
              <w:rPr>
                <w:rFonts w:hint="eastAsia" w:ascii="仿宋" w:hAnsi="仿宋" w:eastAsia="仿宋" w:cs="仿宋"/>
                <w:bCs/>
                <w:color w:val="000000"/>
                <w:kern w:val="0"/>
                <w:sz w:val="24"/>
                <w:szCs w:val="24"/>
                <w:lang w:val="zh-TW" w:eastAsia="zh-CN"/>
              </w:rPr>
              <w:t>　　　　　　　　　　　　　　　　　　　吉林市生态环境局</w:t>
            </w:r>
          </w:p>
          <w:p w14:paraId="358EBE33">
            <w:pPr>
              <w:pStyle w:val="2"/>
              <w:spacing w:line="360" w:lineRule="auto"/>
              <w:ind w:left="0" w:leftChars="0"/>
              <w:rPr>
                <w:rFonts w:hint="eastAsia"/>
                <w:lang w:val="en-US" w:eastAsia="zh-CN"/>
              </w:rPr>
            </w:pPr>
            <w:r>
              <w:rPr>
                <w:rFonts w:hint="eastAsia" w:ascii="仿宋" w:hAnsi="仿宋" w:eastAsia="仿宋" w:cs="仿宋"/>
                <w:bCs/>
                <w:color w:val="000000"/>
                <w:kern w:val="0"/>
                <w:sz w:val="24"/>
                <w:szCs w:val="24"/>
                <w:lang w:val="en-US" w:eastAsia="zh-CN"/>
              </w:rPr>
              <w:t>　　　　　　　　　　　　　　　　　　　 2025年12月19日</w:t>
            </w:r>
          </w:p>
          <w:p w14:paraId="1032E161">
            <w:pPr>
              <w:adjustRightInd w:val="0"/>
              <w:snapToGrid w:val="0"/>
              <w:spacing w:after="156" w:afterLines="50" w:line="460" w:lineRule="exact"/>
              <w:rPr>
                <w:rFonts w:ascii="仿宋_GB2312" w:hAnsi="宋体" w:eastAsia="仿宋_GB2312" w:cs="仿宋_GB2312"/>
                <w:sz w:val="24"/>
                <w:szCs w:val="24"/>
              </w:rPr>
            </w:pPr>
          </w:p>
        </w:tc>
      </w:tr>
    </w:tbl>
    <w:p w14:paraId="7CB72422">
      <w:pPr>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FFE610"/>
    <w:multiLevelType w:val="singleLevel"/>
    <w:tmpl w:val="55FFE610"/>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jMTIyMzMxMGUyZGRiNjRkMDExZjZjMjcxNWM0YmQifQ=="/>
  </w:docVars>
  <w:rsids>
    <w:rsidRoot w:val="00112C8F"/>
    <w:rsid w:val="00001DF9"/>
    <w:rsid w:val="0004006C"/>
    <w:rsid w:val="00063627"/>
    <w:rsid w:val="0006419C"/>
    <w:rsid w:val="000830C6"/>
    <w:rsid w:val="000855B6"/>
    <w:rsid w:val="00090F24"/>
    <w:rsid w:val="00090FEA"/>
    <w:rsid w:val="000C5A2C"/>
    <w:rsid w:val="000E6CEE"/>
    <w:rsid w:val="000F6B9F"/>
    <w:rsid w:val="001063B4"/>
    <w:rsid w:val="00112C8F"/>
    <w:rsid w:val="001501D8"/>
    <w:rsid w:val="00150A40"/>
    <w:rsid w:val="00173903"/>
    <w:rsid w:val="00176569"/>
    <w:rsid w:val="0018522B"/>
    <w:rsid w:val="0019387C"/>
    <w:rsid w:val="001A341F"/>
    <w:rsid w:val="001B367A"/>
    <w:rsid w:val="001D029C"/>
    <w:rsid w:val="001E76E2"/>
    <w:rsid w:val="001F2293"/>
    <w:rsid w:val="00204FA8"/>
    <w:rsid w:val="002469E6"/>
    <w:rsid w:val="00252989"/>
    <w:rsid w:val="00282C1F"/>
    <w:rsid w:val="002A2816"/>
    <w:rsid w:val="002A3C4E"/>
    <w:rsid w:val="002D0903"/>
    <w:rsid w:val="002E0AD3"/>
    <w:rsid w:val="002E2E46"/>
    <w:rsid w:val="002E31D6"/>
    <w:rsid w:val="002E6B5B"/>
    <w:rsid w:val="002F3D8F"/>
    <w:rsid w:val="002F5FFA"/>
    <w:rsid w:val="00301352"/>
    <w:rsid w:val="00304AAC"/>
    <w:rsid w:val="00305892"/>
    <w:rsid w:val="003079C5"/>
    <w:rsid w:val="00314264"/>
    <w:rsid w:val="0031577B"/>
    <w:rsid w:val="00317C09"/>
    <w:rsid w:val="00334153"/>
    <w:rsid w:val="00345FC1"/>
    <w:rsid w:val="00356F7A"/>
    <w:rsid w:val="0036586F"/>
    <w:rsid w:val="00387EB7"/>
    <w:rsid w:val="00391A7E"/>
    <w:rsid w:val="0039436D"/>
    <w:rsid w:val="0039609F"/>
    <w:rsid w:val="003A485C"/>
    <w:rsid w:val="003B079B"/>
    <w:rsid w:val="003B68E8"/>
    <w:rsid w:val="003B6973"/>
    <w:rsid w:val="003C5633"/>
    <w:rsid w:val="003D04F1"/>
    <w:rsid w:val="003E6498"/>
    <w:rsid w:val="003E7FF1"/>
    <w:rsid w:val="00406993"/>
    <w:rsid w:val="004516B9"/>
    <w:rsid w:val="004623AA"/>
    <w:rsid w:val="00465A9E"/>
    <w:rsid w:val="004670AC"/>
    <w:rsid w:val="0047081E"/>
    <w:rsid w:val="00476BD0"/>
    <w:rsid w:val="004D095E"/>
    <w:rsid w:val="004D30EB"/>
    <w:rsid w:val="004D3AF6"/>
    <w:rsid w:val="004D4D96"/>
    <w:rsid w:val="004F1058"/>
    <w:rsid w:val="00500B94"/>
    <w:rsid w:val="0052527F"/>
    <w:rsid w:val="0052537F"/>
    <w:rsid w:val="0054785F"/>
    <w:rsid w:val="00565C16"/>
    <w:rsid w:val="00571302"/>
    <w:rsid w:val="00586E08"/>
    <w:rsid w:val="00594E6B"/>
    <w:rsid w:val="005D06DB"/>
    <w:rsid w:val="005E2215"/>
    <w:rsid w:val="00601349"/>
    <w:rsid w:val="0062248A"/>
    <w:rsid w:val="00623300"/>
    <w:rsid w:val="006373F3"/>
    <w:rsid w:val="00640A33"/>
    <w:rsid w:val="0064146B"/>
    <w:rsid w:val="00667073"/>
    <w:rsid w:val="006758B1"/>
    <w:rsid w:val="00682404"/>
    <w:rsid w:val="006A1552"/>
    <w:rsid w:val="006C4D4E"/>
    <w:rsid w:val="006C6A57"/>
    <w:rsid w:val="006D0691"/>
    <w:rsid w:val="006D70F1"/>
    <w:rsid w:val="006E1AAA"/>
    <w:rsid w:val="006E7BA0"/>
    <w:rsid w:val="00706BE7"/>
    <w:rsid w:val="00723E5E"/>
    <w:rsid w:val="00756EBE"/>
    <w:rsid w:val="0075762E"/>
    <w:rsid w:val="00757F65"/>
    <w:rsid w:val="00771EB9"/>
    <w:rsid w:val="00773AB7"/>
    <w:rsid w:val="00787BC1"/>
    <w:rsid w:val="00795249"/>
    <w:rsid w:val="00797C69"/>
    <w:rsid w:val="007A7B4D"/>
    <w:rsid w:val="007B7A56"/>
    <w:rsid w:val="007E46A0"/>
    <w:rsid w:val="00805681"/>
    <w:rsid w:val="00820AF9"/>
    <w:rsid w:val="00851576"/>
    <w:rsid w:val="008636E6"/>
    <w:rsid w:val="008653B8"/>
    <w:rsid w:val="008A2586"/>
    <w:rsid w:val="008A4A94"/>
    <w:rsid w:val="008B3B1D"/>
    <w:rsid w:val="008D62A0"/>
    <w:rsid w:val="008D7F79"/>
    <w:rsid w:val="008F048F"/>
    <w:rsid w:val="008F38F0"/>
    <w:rsid w:val="009007E4"/>
    <w:rsid w:val="00953BA0"/>
    <w:rsid w:val="00956A9C"/>
    <w:rsid w:val="00974CF1"/>
    <w:rsid w:val="00981CE6"/>
    <w:rsid w:val="009928A5"/>
    <w:rsid w:val="00995951"/>
    <w:rsid w:val="009A3F4B"/>
    <w:rsid w:val="009C232B"/>
    <w:rsid w:val="009D119F"/>
    <w:rsid w:val="009D18B3"/>
    <w:rsid w:val="009D38B6"/>
    <w:rsid w:val="009F5802"/>
    <w:rsid w:val="00A14235"/>
    <w:rsid w:val="00A325FD"/>
    <w:rsid w:val="00A34F10"/>
    <w:rsid w:val="00A40A57"/>
    <w:rsid w:val="00A563B0"/>
    <w:rsid w:val="00A60C4E"/>
    <w:rsid w:val="00A64F11"/>
    <w:rsid w:val="00A77C03"/>
    <w:rsid w:val="00A82C2F"/>
    <w:rsid w:val="00AE5CAC"/>
    <w:rsid w:val="00AF5F72"/>
    <w:rsid w:val="00B266B7"/>
    <w:rsid w:val="00B31352"/>
    <w:rsid w:val="00B334AB"/>
    <w:rsid w:val="00B6619F"/>
    <w:rsid w:val="00B76A96"/>
    <w:rsid w:val="00B87E59"/>
    <w:rsid w:val="00BA69E5"/>
    <w:rsid w:val="00BB084E"/>
    <w:rsid w:val="00BB7565"/>
    <w:rsid w:val="00BD0C5D"/>
    <w:rsid w:val="00BE1927"/>
    <w:rsid w:val="00C0623A"/>
    <w:rsid w:val="00C15D88"/>
    <w:rsid w:val="00C2226A"/>
    <w:rsid w:val="00C27E45"/>
    <w:rsid w:val="00C46E47"/>
    <w:rsid w:val="00C52542"/>
    <w:rsid w:val="00C57326"/>
    <w:rsid w:val="00C76448"/>
    <w:rsid w:val="00C82A85"/>
    <w:rsid w:val="00CA3189"/>
    <w:rsid w:val="00CA621A"/>
    <w:rsid w:val="00CA6881"/>
    <w:rsid w:val="00CB6BDA"/>
    <w:rsid w:val="00CC178F"/>
    <w:rsid w:val="00CC1851"/>
    <w:rsid w:val="00CD47FD"/>
    <w:rsid w:val="00D1571A"/>
    <w:rsid w:val="00D16084"/>
    <w:rsid w:val="00D20515"/>
    <w:rsid w:val="00D23395"/>
    <w:rsid w:val="00D25A7C"/>
    <w:rsid w:val="00D32D26"/>
    <w:rsid w:val="00D3535B"/>
    <w:rsid w:val="00D365FB"/>
    <w:rsid w:val="00D422CF"/>
    <w:rsid w:val="00D71FAE"/>
    <w:rsid w:val="00D72EA7"/>
    <w:rsid w:val="00D86234"/>
    <w:rsid w:val="00D9013E"/>
    <w:rsid w:val="00DC67F0"/>
    <w:rsid w:val="00DC74FC"/>
    <w:rsid w:val="00E20DB2"/>
    <w:rsid w:val="00E216E0"/>
    <w:rsid w:val="00E24B0B"/>
    <w:rsid w:val="00E25D6A"/>
    <w:rsid w:val="00E26319"/>
    <w:rsid w:val="00E440C7"/>
    <w:rsid w:val="00E77D7E"/>
    <w:rsid w:val="00E82067"/>
    <w:rsid w:val="00EB4404"/>
    <w:rsid w:val="00EC3554"/>
    <w:rsid w:val="00ED0D7D"/>
    <w:rsid w:val="00EE3EF3"/>
    <w:rsid w:val="00F150DB"/>
    <w:rsid w:val="00F157A5"/>
    <w:rsid w:val="00F1585F"/>
    <w:rsid w:val="00F24E5D"/>
    <w:rsid w:val="00F36A9C"/>
    <w:rsid w:val="00F45FC6"/>
    <w:rsid w:val="00F52AA7"/>
    <w:rsid w:val="00F57E55"/>
    <w:rsid w:val="00F85D49"/>
    <w:rsid w:val="00F904D6"/>
    <w:rsid w:val="00FC4CD7"/>
    <w:rsid w:val="00FC5DFB"/>
    <w:rsid w:val="00FD1695"/>
    <w:rsid w:val="00FD7F0E"/>
    <w:rsid w:val="00FE5FEF"/>
    <w:rsid w:val="00FF26F3"/>
    <w:rsid w:val="00FF46FD"/>
    <w:rsid w:val="04C029E0"/>
    <w:rsid w:val="04DC1EF2"/>
    <w:rsid w:val="053B473F"/>
    <w:rsid w:val="05E52296"/>
    <w:rsid w:val="05EE186A"/>
    <w:rsid w:val="061A5470"/>
    <w:rsid w:val="067C181C"/>
    <w:rsid w:val="092D150A"/>
    <w:rsid w:val="098C3C3A"/>
    <w:rsid w:val="09B209F0"/>
    <w:rsid w:val="0ABB1C24"/>
    <w:rsid w:val="0BBE2D2C"/>
    <w:rsid w:val="0C4946EB"/>
    <w:rsid w:val="0C50326D"/>
    <w:rsid w:val="0C645D51"/>
    <w:rsid w:val="0CED4CDD"/>
    <w:rsid w:val="0D1F0433"/>
    <w:rsid w:val="0D840443"/>
    <w:rsid w:val="0DFB60E9"/>
    <w:rsid w:val="0E272D67"/>
    <w:rsid w:val="10D57237"/>
    <w:rsid w:val="11867196"/>
    <w:rsid w:val="128A4406"/>
    <w:rsid w:val="12FF50B9"/>
    <w:rsid w:val="133B3428"/>
    <w:rsid w:val="140769B8"/>
    <w:rsid w:val="148E35B7"/>
    <w:rsid w:val="14BB5A30"/>
    <w:rsid w:val="1593088D"/>
    <w:rsid w:val="1637368C"/>
    <w:rsid w:val="16702A6B"/>
    <w:rsid w:val="16900BDF"/>
    <w:rsid w:val="1707342C"/>
    <w:rsid w:val="17233A58"/>
    <w:rsid w:val="17FB4D7D"/>
    <w:rsid w:val="19023E66"/>
    <w:rsid w:val="19E105F6"/>
    <w:rsid w:val="1A9812DD"/>
    <w:rsid w:val="1AA24CA5"/>
    <w:rsid w:val="1ADD2AD6"/>
    <w:rsid w:val="1AED3D58"/>
    <w:rsid w:val="1B033691"/>
    <w:rsid w:val="1B891AFF"/>
    <w:rsid w:val="1B8A1D96"/>
    <w:rsid w:val="1B8D2DF3"/>
    <w:rsid w:val="1C593783"/>
    <w:rsid w:val="1E33066D"/>
    <w:rsid w:val="1F4A5EE0"/>
    <w:rsid w:val="2012571E"/>
    <w:rsid w:val="2031129D"/>
    <w:rsid w:val="20CA68AC"/>
    <w:rsid w:val="21AC79DB"/>
    <w:rsid w:val="220258AD"/>
    <w:rsid w:val="228D3CFF"/>
    <w:rsid w:val="22A02920"/>
    <w:rsid w:val="22E27190"/>
    <w:rsid w:val="23D05D82"/>
    <w:rsid w:val="24AA3EE3"/>
    <w:rsid w:val="25091801"/>
    <w:rsid w:val="25DE244C"/>
    <w:rsid w:val="283E654F"/>
    <w:rsid w:val="286D6C1B"/>
    <w:rsid w:val="295750F7"/>
    <w:rsid w:val="2A141AF7"/>
    <w:rsid w:val="2AC1452B"/>
    <w:rsid w:val="2AF45369"/>
    <w:rsid w:val="2B4B1DD3"/>
    <w:rsid w:val="2B8466D5"/>
    <w:rsid w:val="2B85488A"/>
    <w:rsid w:val="2B874F53"/>
    <w:rsid w:val="2B907F24"/>
    <w:rsid w:val="2BC74EA2"/>
    <w:rsid w:val="2BCD7779"/>
    <w:rsid w:val="2BD66954"/>
    <w:rsid w:val="2CBA0563"/>
    <w:rsid w:val="2F81249E"/>
    <w:rsid w:val="2FF0678C"/>
    <w:rsid w:val="3000321C"/>
    <w:rsid w:val="306D7B74"/>
    <w:rsid w:val="3184338A"/>
    <w:rsid w:val="327F6416"/>
    <w:rsid w:val="33D20DA7"/>
    <w:rsid w:val="34097870"/>
    <w:rsid w:val="346C2A8B"/>
    <w:rsid w:val="355D6EC5"/>
    <w:rsid w:val="361E5BAA"/>
    <w:rsid w:val="36B61189"/>
    <w:rsid w:val="37E3104B"/>
    <w:rsid w:val="39287B24"/>
    <w:rsid w:val="396C52DB"/>
    <w:rsid w:val="397270A9"/>
    <w:rsid w:val="3AC93A79"/>
    <w:rsid w:val="3B837541"/>
    <w:rsid w:val="3B9731ED"/>
    <w:rsid w:val="3C251A9E"/>
    <w:rsid w:val="3C7C73A2"/>
    <w:rsid w:val="3D335867"/>
    <w:rsid w:val="3E100FE9"/>
    <w:rsid w:val="3E224498"/>
    <w:rsid w:val="3E79520D"/>
    <w:rsid w:val="3EE00C55"/>
    <w:rsid w:val="3F2358EC"/>
    <w:rsid w:val="40C75BC4"/>
    <w:rsid w:val="419B03CF"/>
    <w:rsid w:val="42D00689"/>
    <w:rsid w:val="42FD0ED1"/>
    <w:rsid w:val="433A7B88"/>
    <w:rsid w:val="43627A99"/>
    <w:rsid w:val="45147A54"/>
    <w:rsid w:val="452277C9"/>
    <w:rsid w:val="45652580"/>
    <w:rsid w:val="46175D49"/>
    <w:rsid w:val="46C6492B"/>
    <w:rsid w:val="47B94332"/>
    <w:rsid w:val="487241A5"/>
    <w:rsid w:val="4A9F4604"/>
    <w:rsid w:val="4BB8688C"/>
    <w:rsid w:val="4CB63C9F"/>
    <w:rsid w:val="4CF20952"/>
    <w:rsid w:val="4F2024AF"/>
    <w:rsid w:val="4F273578"/>
    <w:rsid w:val="50E05F3B"/>
    <w:rsid w:val="517D4E03"/>
    <w:rsid w:val="552C764F"/>
    <w:rsid w:val="55774F00"/>
    <w:rsid w:val="5703704B"/>
    <w:rsid w:val="576A1843"/>
    <w:rsid w:val="583325A9"/>
    <w:rsid w:val="59393221"/>
    <w:rsid w:val="596402EC"/>
    <w:rsid w:val="59F91D02"/>
    <w:rsid w:val="5A57506B"/>
    <w:rsid w:val="5A8104B1"/>
    <w:rsid w:val="5C4E3F8D"/>
    <w:rsid w:val="5D4379D3"/>
    <w:rsid w:val="5D4656C7"/>
    <w:rsid w:val="5D850D8A"/>
    <w:rsid w:val="5EAF7415"/>
    <w:rsid w:val="5ED14F7F"/>
    <w:rsid w:val="5F7A5EEA"/>
    <w:rsid w:val="603E3613"/>
    <w:rsid w:val="60E570C2"/>
    <w:rsid w:val="619D10D3"/>
    <w:rsid w:val="61D330CD"/>
    <w:rsid w:val="62351C11"/>
    <w:rsid w:val="632A349F"/>
    <w:rsid w:val="63534CE1"/>
    <w:rsid w:val="63835F4D"/>
    <w:rsid w:val="646163CA"/>
    <w:rsid w:val="655757D4"/>
    <w:rsid w:val="656948F1"/>
    <w:rsid w:val="65E26648"/>
    <w:rsid w:val="66010CEC"/>
    <w:rsid w:val="672C55DE"/>
    <w:rsid w:val="68247F41"/>
    <w:rsid w:val="68262FDF"/>
    <w:rsid w:val="6A70454E"/>
    <w:rsid w:val="6ABF6730"/>
    <w:rsid w:val="6ACD578F"/>
    <w:rsid w:val="6B4B5EBE"/>
    <w:rsid w:val="6BE2228B"/>
    <w:rsid w:val="6CAD71C1"/>
    <w:rsid w:val="6D0B2A88"/>
    <w:rsid w:val="6D316241"/>
    <w:rsid w:val="6E55108E"/>
    <w:rsid w:val="6EF31975"/>
    <w:rsid w:val="70882D25"/>
    <w:rsid w:val="70C745CA"/>
    <w:rsid w:val="717405E0"/>
    <w:rsid w:val="72E434AB"/>
    <w:rsid w:val="73A227A8"/>
    <w:rsid w:val="7420046B"/>
    <w:rsid w:val="74304839"/>
    <w:rsid w:val="74641398"/>
    <w:rsid w:val="7529663A"/>
    <w:rsid w:val="76BA644F"/>
    <w:rsid w:val="78374484"/>
    <w:rsid w:val="789F40B6"/>
    <w:rsid w:val="7B047904"/>
    <w:rsid w:val="7B40355C"/>
    <w:rsid w:val="7C3D3992"/>
    <w:rsid w:val="7DB16355"/>
    <w:rsid w:val="7E4C05EC"/>
    <w:rsid w:val="7E822FF1"/>
    <w:rsid w:val="7ECD36F3"/>
    <w:rsid w:val="7F9B0B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spacing w:line="324" w:lineRule="auto"/>
      <w:ind w:left="200" w:leftChars="200" w:firstLine="573"/>
    </w:pPr>
    <w:rPr>
      <w:sz w:val="28"/>
      <w:szCs w:val="24"/>
    </w:rPr>
  </w:style>
  <w:style w:type="paragraph" w:styleId="3">
    <w:name w:val="Normal Indent"/>
    <w:basedOn w:val="1"/>
    <w:link w:val="21"/>
    <w:qFormat/>
    <w:uiPriority w:val="0"/>
    <w:pPr>
      <w:tabs>
        <w:tab w:val="left" w:pos="280"/>
      </w:tabs>
      <w:spacing w:line="312" w:lineRule="auto"/>
      <w:ind w:firstLine="200" w:firstLineChars="200"/>
    </w:pPr>
    <w:rPr>
      <w:rFonts w:ascii="Times New Roman" w:hAnsi="Times New Roman" w:eastAsia="宋体" w:cs="Times New Roman"/>
      <w:sz w:val="28"/>
      <w:szCs w:val="20"/>
    </w:rPr>
  </w:style>
  <w:style w:type="paragraph" w:styleId="4">
    <w:name w:val="Body Text"/>
    <w:basedOn w:val="1"/>
    <w:next w:val="5"/>
    <w:link w:val="18"/>
    <w:qFormat/>
    <w:uiPriority w:val="0"/>
    <w:pPr>
      <w:spacing w:line="500" w:lineRule="exact"/>
    </w:pPr>
    <w:rPr>
      <w:rFonts w:ascii="Times New Roman" w:hAnsi="Times New Roman" w:eastAsia="宋体" w:cs="Times New Roman"/>
      <w:sz w:val="28"/>
      <w:szCs w:val="20"/>
    </w:rPr>
  </w:style>
  <w:style w:type="paragraph" w:styleId="5">
    <w:name w:val="toc 1"/>
    <w:basedOn w:val="1"/>
    <w:next w:val="1"/>
    <w:semiHidden/>
    <w:unhideWhenUsed/>
    <w:qFormat/>
    <w:uiPriority w:val="39"/>
  </w:style>
  <w:style w:type="paragraph" w:styleId="6">
    <w:name w:val="Body Text Indent 2"/>
    <w:basedOn w:val="1"/>
    <w:link w:val="20"/>
    <w:unhideWhenUsed/>
    <w:qFormat/>
    <w:uiPriority w:val="99"/>
    <w:pPr>
      <w:spacing w:after="120" w:line="480" w:lineRule="auto"/>
      <w:ind w:left="420" w:leftChars="200"/>
    </w:pPr>
  </w:style>
  <w:style w:type="paragraph" w:styleId="7">
    <w:name w:val="footer"/>
    <w:basedOn w:val="1"/>
    <w:link w:val="14"/>
    <w:semiHidden/>
    <w:unhideWhenUsed/>
    <w:qFormat/>
    <w:uiPriority w:val="99"/>
    <w:pPr>
      <w:tabs>
        <w:tab w:val="center" w:pos="4153"/>
        <w:tab w:val="right" w:pos="8306"/>
      </w:tabs>
      <w:snapToGrid w:val="0"/>
      <w:jc w:val="left"/>
    </w:pPr>
    <w:rPr>
      <w:sz w:val="18"/>
      <w:szCs w:val="18"/>
    </w:rPr>
  </w:style>
  <w:style w:type="paragraph" w:styleId="8">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keepNext w:val="0"/>
      <w:keepLines w:val="0"/>
      <w:widowControl/>
      <w:suppressLineNumbers w:val="0"/>
      <w:spacing w:before="100" w:beforeAutospacing="1" w:after="100" w:afterAutospacing="1"/>
      <w:ind w:left="0" w:right="0"/>
      <w:jc w:val="left"/>
    </w:pPr>
    <w:rPr>
      <w:rFonts w:hint="eastAsia" w:ascii="宋体" w:hAnsi="宋体" w:eastAsia="宋体" w:cs="Times New Roman"/>
      <w:kern w:val="0"/>
      <w:sz w:val="24"/>
      <w:szCs w:val="20"/>
      <w:lang w:val="en-US" w:eastAsia="zh-CN" w:bidi="ar"/>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眉 字符"/>
    <w:basedOn w:val="12"/>
    <w:link w:val="8"/>
    <w:semiHidden/>
    <w:qFormat/>
    <w:uiPriority w:val="99"/>
    <w:rPr>
      <w:sz w:val="18"/>
      <w:szCs w:val="18"/>
    </w:rPr>
  </w:style>
  <w:style w:type="character" w:customStyle="1" w:styleId="14">
    <w:name w:val="页脚 字符"/>
    <w:basedOn w:val="12"/>
    <w:link w:val="7"/>
    <w:semiHidden/>
    <w:qFormat/>
    <w:uiPriority w:val="99"/>
    <w:rPr>
      <w:sz w:val="18"/>
      <w:szCs w:val="18"/>
    </w:rPr>
  </w:style>
  <w:style w:type="paragraph" w:styleId="15">
    <w:name w:val="List Paragraph"/>
    <w:basedOn w:val="1"/>
    <w:unhideWhenUsed/>
    <w:qFormat/>
    <w:uiPriority w:val="99"/>
    <w:pPr>
      <w:ind w:firstLine="420" w:firstLineChars="200"/>
    </w:pPr>
  </w:style>
  <w:style w:type="character" w:customStyle="1" w:styleId="16">
    <w:name w:val="font51"/>
    <w:qFormat/>
    <w:uiPriority w:val="0"/>
    <w:rPr>
      <w:rFonts w:hint="eastAsia" w:ascii="宋体" w:hAnsi="宋体" w:eastAsia="宋体" w:cs="宋体"/>
      <w:color w:val="000000"/>
      <w:sz w:val="21"/>
      <w:szCs w:val="21"/>
      <w:u w:val="none"/>
    </w:r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8">
    <w:name w:val="正文文本 字符"/>
    <w:link w:val="4"/>
    <w:qFormat/>
    <w:uiPriority w:val="0"/>
    <w:rPr>
      <w:kern w:val="2"/>
      <w:sz w:val="28"/>
    </w:rPr>
  </w:style>
  <w:style w:type="character" w:customStyle="1" w:styleId="19">
    <w:name w:val="正文文本 Char1"/>
    <w:basedOn w:val="12"/>
    <w:semiHidden/>
    <w:qFormat/>
    <w:uiPriority w:val="99"/>
    <w:rPr>
      <w:rFonts w:asciiTheme="minorHAnsi" w:hAnsiTheme="minorHAnsi" w:eastAsiaTheme="minorEastAsia" w:cstheme="minorBidi"/>
      <w:kern w:val="2"/>
      <w:sz w:val="21"/>
      <w:szCs w:val="22"/>
    </w:rPr>
  </w:style>
  <w:style w:type="character" w:customStyle="1" w:styleId="20">
    <w:name w:val="正文文本缩进 2 字符"/>
    <w:basedOn w:val="12"/>
    <w:link w:val="6"/>
    <w:qFormat/>
    <w:uiPriority w:val="99"/>
    <w:rPr>
      <w:rFonts w:asciiTheme="minorHAnsi" w:hAnsiTheme="minorHAnsi" w:eastAsiaTheme="minorEastAsia" w:cstheme="minorBidi"/>
      <w:kern w:val="2"/>
      <w:sz w:val="21"/>
      <w:szCs w:val="22"/>
    </w:rPr>
  </w:style>
  <w:style w:type="character" w:customStyle="1" w:styleId="21">
    <w:name w:val="正文缩进 字符"/>
    <w:link w:val="3"/>
    <w:qFormat/>
    <w:uiPriority w:val="0"/>
    <w:rPr>
      <w:kern w:val="2"/>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1">
      <a:dk1>
        <a:sysClr val="windowText" lastClr="000000"/>
      </a:dk1>
      <a:lt1>
        <a:srgbClr val="C3D69B"/>
      </a:lt1>
      <a:dk2>
        <a:srgbClr val="1F497D"/>
      </a:dk2>
      <a:lt2>
        <a:srgbClr val="92D050"/>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ontractReview xmlns="http://schemas.wps.cn/vas-ai-hub/contract-review">
  <reviewItems/>
  <config/>
</contractReview>
</file>

<file path=customXml/itemProps1.xml><?xml version="1.0" encoding="utf-8"?>
<ds:datastoreItem xmlns:ds="http://schemas.openxmlformats.org/officeDocument/2006/customXml" ds:itemID="{8F49336E-0E0C-4B90-8DA0-5E27F5998060}">
  <ds:schemaRefs/>
</ds:datastoreItem>
</file>

<file path=customXml/itemProps2.xml><?xml version="1.0" encoding="utf-8"?>
<ds:datastoreItem xmlns:ds="http://schemas.openxmlformats.org/officeDocument/2006/customXml" ds:itemID="{9b0c485a-5a7e-42af-ab40-7c84d17653d5}">
  <ds:schemaRefs/>
</ds:datastoreItem>
</file>

<file path=docProps/app.xml><?xml version="1.0" encoding="utf-8"?>
<Properties xmlns="http://schemas.openxmlformats.org/officeDocument/2006/extended-properties" xmlns:vt="http://schemas.openxmlformats.org/officeDocument/2006/docPropsVTypes">
  <Template>Normal</Template>
  <Pages>4</Pages>
  <Words>2040</Words>
  <Characters>2265</Characters>
  <Lines>14</Lines>
  <Paragraphs>4</Paragraphs>
  <TotalTime>0</TotalTime>
  <ScaleCrop>false</ScaleCrop>
  <LinksUpToDate>false</LinksUpToDate>
  <CharactersWithSpaces>2306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2020-02-03T01:41:00Z</dcterms:created>
  <dc:creator>dell</dc:creator>
  <cp:lastModifiedBy>W琪</cp:lastModifiedBy>
  <cp:lastPrinted>2025-12-12T00:40:00Z</cp:lastPrinted>
  <dcterms:modified xsi:type="dcterms:W3CDTF">2025-12-18T07:19:31Z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FC796D86D88A44FA81F880767E4BAD53_13</vt:lpwstr>
  </property>
  <property fmtid="{D5CDD505-2E9C-101B-9397-08002B2CF9AE}" pid="4" name="KSOTemplateDocerSaveRecord">
    <vt:lpwstr>eyJoZGlkIjoiMDc5MzViOWI5ODMxNmU1MjFmZjY5NjVlZTE5M2Q2YjUiLCJ1c2VySWQiOiIzNDEzNjc4NTYifQ==</vt:lpwstr>
  </property>
</Properties>
</file>