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A68A">
      <w:pPr>
        <w:ind w:left="0" w:leftChars="0" w:firstLine="0" w:firstLineChars="0"/>
        <w:rPr>
          <w:rFonts w:hint="eastAsia" w:eastAsia="仿宋_GB2312"/>
          <w:sz w:val="32"/>
          <w:lang w:val="en-US" w:eastAsia="zh-CN"/>
        </w:rPr>
      </w:pPr>
    </w:p>
    <w:p w14:paraId="77C4D31A">
      <w:pPr>
        <w:bidi w:val="0"/>
        <w:rPr>
          <w:rFonts w:hint="eastAsia" w:ascii="仿宋_GB2312" w:hAnsi="仿宋_GB2312" w:eastAsia="仿宋_GB2312" w:cs="Times New Roman"/>
          <w:kern w:val="2"/>
          <w:sz w:val="32"/>
          <w:szCs w:val="32"/>
          <w:lang w:val="en-US" w:eastAsia="zh-CN" w:bidi="ar-SA"/>
        </w:rPr>
      </w:pPr>
    </w:p>
    <w:p w14:paraId="11392D1C">
      <w:pPr>
        <w:bidi w:val="0"/>
        <w:rPr>
          <w:rFonts w:hint="eastAsia"/>
          <w:lang w:val="en-US" w:eastAsia="zh-CN"/>
        </w:rPr>
      </w:pPr>
    </w:p>
    <w:p w14:paraId="38EBD69D">
      <w:pPr>
        <w:bidi w:val="0"/>
        <w:rPr>
          <w:rFonts w:hint="eastAsia"/>
          <w:lang w:val="en-US" w:eastAsia="zh-CN"/>
        </w:rPr>
      </w:pPr>
    </w:p>
    <w:p w14:paraId="44954A7F">
      <w:pPr>
        <w:bidi w:val="0"/>
        <w:rPr>
          <w:rFonts w:hint="eastAsia"/>
          <w:lang w:val="en-US" w:eastAsia="zh-CN"/>
        </w:rPr>
      </w:pPr>
    </w:p>
    <w:p w14:paraId="1DC0DB27">
      <w:pPr>
        <w:bidi w:val="0"/>
        <w:rPr>
          <w:rFonts w:hint="eastAsia"/>
          <w:lang w:val="en-US" w:eastAsia="zh-CN"/>
        </w:rPr>
      </w:pPr>
    </w:p>
    <w:p w14:paraId="1CEBAE0C">
      <w:pPr>
        <w:bidi w:val="0"/>
        <w:rPr>
          <w:rFonts w:hint="eastAsia"/>
          <w:lang w:val="en-US" w:eastAsia="zh-CN"/>
        </w:rPr>
      </w:pPr>
    </w:p>
    <w:p w14:paraId="5F4EEF7E">
      <w:pPr>
        <w:bidi w:val="0"/>
        <w:ind w:left="0" w:leftChars="0" w:firstLine="0" w:firstLineChars="0"/>
        <w:jc w:val="center"/>
        <w:rPr>
          <w:rFonts w:hint="eastAsia" w:ascii="仿宋_GB2312" w:hAnsi="仿宋_GB2312" w:eastAsia="仿宋_GB2312" w:cs="仿宋_GB2312"/>
          <w:spacing w:val="-20"/>
          <w:sz w:val="32"/>
          <w:szCs w:val="32"/>
        </w:rPr>
      </w:pPr>
    </w:p>
    <w:p w14:paraId="410B65C5">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25</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18</w:t>
      </w:r>
      <w:r>
        <w:rPr>
          <w:rFonts w:hint="eastAsia" w:ascii="仿宋_GB2312" w:hAnsi="仿宋_GB2312" w:eastAsia="仿宋_GB2312" w:cs="仿宋_GB2312"/>
          <w:spacing w:val="-20"/>
          <w:sz w:val="32"/>
          <w:szCs w:val="32"/>
        </w:rPr>
        <w:t>号</w:t>
      </w:r>
    </w:p>
    <w:p w14:paraId="517D7477">
      <w:pPr>
        <w:bidi w:val="0"/>
        <w:ind w:left="0" w:leftChars="0" w:firstLine="0" w:firstLineChars="0"/>
        <w:jc w:val="both"/>
        <w:rPr>
          <w:rFonts w:hint="eastAsia" w:ascii="仿宋_GB2312" w:hAnsi="仿宋_GB2312" w:eastAsia="仿宋_GB2312" w:cs="仿宋_GB2312"/>
          <w:spacing w:val="-20"/>
          <w:sz w:val="32"/>
          <w:szCs w:val="32"/>
        </w:rPr>
      </w:pPr>
    </w:p>
    <w:p w14:paraId="44FAB312">
      <w:pPr>
        <w:pStyle w:val="5"/>
        <w:keepNext w:val="0"/>
        <w:keepLines w:val="0"/>
        <w:pageBreakBefore w:val="0"/>
        <w:kinsoku/>
        <w:wordWrap/>
        <w:overflowPunct/>
        <w:topLinePunct w:val="0"/>
        <w:autoSpaceDE/>
        <w:autoSpaceDN/>
        <w:bidi w:val="0"/>
        <w:adjustRightInd/>
        <w:snapToGrid/>
        <w:spacing w:line="720" w:lineRule="exact"/>
        <w:ind w:left="0" w:leftChars="0" w:firstLine="0" w:firstLineChars="0"/>
        <w:jc w:val="center"/>
        <w:textAlignment w:val="auto"/>
        <w:rPr>
          <w:rFonts w:hint="eastAsia" w:ascii="方正小标宋简体" w:hAnsi="方正小标宋简体" w:eastAsia="方正小标宋简体" w:cs="方正小标宋简体"/>
          <w:b w:val="0"/>
          <w:bCs/>
          <w:kern w:val="2"/>
          <w:sz w:val="44"/>
          <w:szCs w:val="44"/>
          <w:lang w:val="en-US" w:eastAsia="zh-CN" w:bidi="ar-SA"/>
        </w:rPr>
      </w:pPr>
      <w:r>
        <w:rPr>
          <w:rFonts w:hint="eastAsia" w:ascii="方正小标宋简体" w:hAnsi="方正小标宋简体" w:eastAsia="方正小标宋简体" w:cs="方正小标宋简体"/>
          <w:b w:val="0"/>
          <w:bCs w:val="0"/>
          <w:w w:val="90"/>
          <w:kern w:val="2"/>
          <w:sz w:val="44"/>
          <w:szCs w:val="44"/>
          <w:lang w:val="en-US" w:eastAsia="zh-CN" w:bidi="ar-SA"/>
        </w:rPr>
        <w:t>关于吉林省富有工贸有限公司汽车配件脱漆项目</w:t>
      </w:r>
      <w:r>
        <w:rPr>
          <w:rFonts w:hint="eastAsia" w:ascii="方正小标宋简体" w:hAnsi="方正小标宋简体" w:eastAsia="方正小标宋简体" w:cs="方正小标宋简体"/>
          <w:b w:val="0"/>
          <w:bCs w:val="0"/>
          <w:w w:val="90"/>
          <w:sz w:val="44"/>
          <w:szCs w:val="44"/>
        </w:rPr>
        <w:t>环境影响报告表的批复</w:t>
      </w:r>
    </w:p>
    <w:p w14:paraId="6D12A0B2">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吉林省富有工贸有限公司： </w:t>
      </w:r>
    </w:p>
    <w:p w14:paraId="4EF8D77C">
      <w:pPr>
        <w:keepNext w:val="0"/>
        <w:keepLines w:val="0"/>
        <w:pageBreakBefore w:val="0"/>
        <w:widowControl/>
        <w:numPr>
          <w:ilvl w:val="0"/>
          <w:numId w:val="0"/>
        </w:numPr>
        <w:suppressLineNumbers w:val="0"/>
        <w:kinsoku/>
        <w:wordWrap/>
        <w:overflowPunct/>
        <w:topLinePunct w:val="0"/>
        <w:bidi w:val="0"/>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你单位《关于对〈吉林省富有工贸有限公司汽车配件脱漆项目</w:t>
      </w:r>
      <w:r>
        <w:rPr>
          <w:rFonts w:hint="eastAsia" w:ascii="仿宋_GB2312" w:hAnsi="仿宋_GB2312" w:eastAsia="仿宋_GB2312" w:cs="仿宋_GB2312"/>
          <w:kern w:val="0"/>
          <w:sz w:val="32"/>
          <w:szCs w:val="32"/>
        </w:rPr>
        <w:t>环境影响报告表</w:t>
      </w:r>
      <w:r>
        <w:rPr>
          <w:rFonts w:hint="eastAsia" w:ascii="仿宋_GB2312" w:hAnsi="仿宋_GB2312" w:eastAsia="仿宋_GB2312" w:cs="仿宋_GB2312"/>
          <w:sz w:val="32"/>
          <w:szCs w:val="32"/>
          <w:lang w:val="en-US" w:eastAsia="zh-CN"/>
        </w:rPr>
        <w:t xml:space="preserve">〉审查的申请》和委托吉林灵隆环境科技有限公司编制的《吉林省富有工贸有限公司汽车配件脱漆项目环境影响报告表》（报批版）收悉。经研究，现批复如下：　 </w:t>
      </w:r>
    </w:p>
    <w:p w14:paraId="5C572C4C">
      <w:pPr>
        <w:keepNext w:val="0"/>
        <w:keepLines w:val="0"/>
        <w:pageBreakBefore w:val="0"/>
        <w:widowControl/>
        <w:numPr>
          <w:ilvl w:val="0"/>
          <w:numId w:val="3"/>
        </w:numPr>
        <w:suppressLineNumbers w:val="0"/>
        <w:kinsoku/>
        <w:wordWrap/>
        <w:overflowPunct/>
        <w:topLinePunct w:val="0"/>
        <w:bidi w:val="0"/>
        <w:snapToGrid/>
        <w:spacing w:line="520" w:lineRule="exact"/>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lang w:val="en-US" w:eastAsia="zh-CN" w:bidi="ar-SA"/>
        </w:rPr>
        <w:t>吉林省富有工贸有限公司位于</w:t>
      </w:r>
      <w:r>
        <w:rPr>
          <w:rFonts w:hint="eastAsia" w:ascii="仿宋_GB2312" w:hAnsi="仿宋_GB2312" w:eastAsia="仿宋_GB2312" w:cs="仿宋_GB2312"/>
          <w:sz w:val="32"/>
          <w:szCs w:val="32"/>
          <w:lang w:val="en-US" w:eastAsia="zh-CN"/>
        </w:rPr>
        <w:t>吉林市龙潭区承德街道铁东村龙兴街</w:t>
      </w:r>
      <w:r>
        <w:rPr>
          <w:rFonts w:hint="eastAsia" w:ascii="仿宋_GB2312" w:hAnsi="仿宋_GB2312" w:eastAsia="仿宋_GB2312" w:cs="仿宋_GB2312"/>
          <w:color w:val="auto"/>
          <w:kern w:val="2"/>
          <w:sz w:val="32"/>
          <w:szCs w:val="32"/>
          <w:lang w:val="en-US" w:eastAsia="zh-CN" w:bidi="ar-SA"/>
        </w:rPr>
        <w:t>，本项目利用现有闲置场地及厂房，新建1条年处理3.3万套汽车配件脱漆生产线及其配套设施</w:t>
      </w:r>
      <w:r>
        <w:rPr>
          <w:rFonts w:hint="eastAsia" w:ascii="仿宋_GB2312" w:hAnsi="仿宋_GB2312" w:eastAsia="仿宋_GB2312" w:cs="仿宋_GB2312"/>
          <w:color w:val="auto"/>
          <w:kern w:val="2"/>
          <w:sz w:val="32"/>
          <w:szCs w:val="32"/>
          <w:highlight w:val="none"/>
          <w:lang w:val="en-US" w:eastAsia="zh-CN" w:bidi="ar-SA"/>
        </w:rPr>
        <w:t>。</w:t>
      </w:r>
    </w:p>
    <w:p w14:paraId="4399D072">
      <w:pPr>
        <w:keepNext w:val="0"/>
        <w:keepLines w:val="0"/>
        <w:pageBreakBefore w:val="0"/>
        <w:widowControl/>
        <w:numPr>
          <w:ilvl w:val="0"/>
          <w:numId w:val="0"/>
        </w:numPr>
        <w:suppressLineNumbers w:val="0"/>
        <w:kinsoku/>
        <w:wordWrap/>
        <w:overflowPunct/>
        <w:topLinePunct w:val="0"/>
        <w:bidi w:val="0"/>
        <w:snapToGrid/>
        <w:spacing w:line="52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highlight w:val="none"/>
          <w:lang w:val="en-US" w:eastAsia="zh-CN" w:bidi="ar-SA"/>
        </w:rPr>
        <w:t>主体工程：生产车间，利用已有300m</w:t>
      </w:r>
      <w:r>
        <w:rPr>
          <w:rFonts w:hint="eastAsia" w:ascii="仿宋_GB2312" w:hAnsi="仿宋_GB2312" w:eastAsia="仿宋_GB2312" w:cs="仿宋_GB2312"/>
          <w:color w:val="auto"/>
          <w:kern w:val="2"/>
          <w:sz w:val="32"/>
          <w:szCs w:val="32"/>
          <w:highlight w:val="none"/>
          <w:vertAlign w:val="superscript"/>
          <w:lang w:val="en-US" w:eastAsia="zh-CN" w:bidi="ar-SA"/>
        </w:rPr>
        <w:t>2</w:t>
      </w:r>
      <w:r>
        <w:rPr>
          <w:rFonts w:hint="eastAsia" w:ascii="仿宋_GB2312" w:hAnsi="仿宋_GB2312" w:eastAsia="仿宋_GB2312" w:cs="仿宋_GB2312"/>
          <w:color w:val="auto"/>
          <w:kern w:val="2"/>
          <w:sz w:val="32"/>
          <w:szCs w:val="32"/>
          <w:highlight w:val="none"/>
          <w:lang w:val="en-US" w:eastAsia="zh-CN" w:bidi="ar-SA"/>
        </w:rPr>
        <w:t>彩钢结构厂房，一层建筑，内设生产区，90m</w:t>
      </w:r>
      <w:r>
        <w:rPr>
          <w:rFonts w:hint="eastAsia" w:ascii="仿宋_GB2312" w:hAnsi="仿宋_GB2312" w:eastAsia="仿宋_GB2312" w:cs="仿宋_GB2312"/>
          <w:color w:val="auto"/>
          <w:kern w:val="2"/>
          <w:sz w:val="32"/>
          <w:szCs w:val="32"/>
          <w:highlight w:val="none"/>
          <w:vertAlign w:val="superscript"/>
          <w:lang w:val="en-US" w:eastAsia="zh-CN" w:bidi="ar-SA"/>
        </w:rPr>
        <w:t>2</w:t>
      </w:r>
      <w:r>
        <w:rPr>
          <w:rFonts w:hint="eastAsia" w:ascii="仿宋_GB2312" w:hAnsi="仿宋_GB2312" w:eastAsia="仿宋_GB2312" w:cs="仿宋_GB2312"/>
          <w:color w:val="auto"/>
          <w:kern w:val="2"/>
          <w:sz w:val="32"/>
          <w:szCs w:val="32"/>
          <w:highlight w:val="none"/>
          <w:lang w:val="en-US" w:eastAsia="zh-CN" w:bidi="ar-SA"/>
        </w:rPr>
        <w:t>原料区、90m</w:t>
      </w:r>
      <w:r>
        <w:rPr>
          <w:rFonts w:hint="eastAsia" w:ascii="仿宋_GB2312" w:hAnsi="仿宋_GB2312" w:eastAsia="仿宋_GB2312" w:cs="仿宋_GB2312"/>
          <w:color w:val="auto"/>
          <w:kern w:val="2"/>
          <w:sz w:val="32"/>
          <w:szCs w:val="32"/>
          <w:highlight w:val="none"/>
          <w:vertAlign w:val="superscript"/>
          <w:lang w:val="en-US" w:eastAsia="zh-CN" w:bidi="ar-SA"/>
        </w:rPr>
        <w:t>2</w:t>
      </w:r>
      <w:r>
        <w:rPr>
          <w:rFonts w:hint="eastAsia" w:ascii="仿宋_GB2312" w:hAnsi="仿宋_GB2312" w:eastAsia="仿宋_GB2312" w:cs="仿宋_GB2312"/>
          <w:color w:val="auto"/>
          <w:kern w:val="2"/>
          <w:sz w:val="32"/>
          <w:szCs w:val="32"/>
          <w:highlight w:val="none"/>
          <w:lang w:val="en-US" w:eastAsia="zh-CN" w:bidi="ar-SA"/>
        </w:rPr>
        <w:t>成品区、</w:t>
      </w:r>
      <w:r>
        <w:rPr>
          <w:rFonts w:hint="eastAsia" w:ascii="仿宋_GB2312" w:hAnsi="仿宋_GB2312" w:eastAsia="仿宋_GB2312" w:cs="仿宋_GB2312"/>
          <w:color w:val="auto"/>
          <w:kern w:val="2"/>
          <w:sz w:val="32"/>
          <w:szCs w:val="32"/>
          <w:highlight w:val="none"/>
          <w:vertAlign w:val="baseline"/>
          <w:lang w:val="en-US" w:eastAsia="zh-CN" w:bidi="ar-SA"/>
        </w:rPr>
        <w:t>污水处理一体化设施（设计处理规模为2m</w:t>
      </w:r>
      <w:r>
        <w:rPr>
          <w:rFonts w:hint="eastAsia" w:ascii="仿宋_GB2312" w:hAnsi="仿宋_GB2312" w:eastAsia="仿宋_GB2312" w:cs="仿宋_GB2312"/>
          <w:color w:val="auto"/>
          <w:kern w:val="2"/>
          <w:sz w:val="32"/>
          <w:szCs w:val="32"/>
          <w:highlight w:val="none"/>
          <w:vertAlign w:val="superscript"/>
          <w:lang w:val="en-US" w:eastAsia="zh-CN" w:bidi="ar-SA"/>
        </w:rPr>
        <w:t>3</w:t>
      </w:r>
      <w:r>
        <w:rPr>
          <w:rFonts w:hint="eastAsia" w:ascii="仿宋_GB2312" w:hAnsi="仿宋_GB2312" w:eastAsia="仿宋_GB2312" w:cs="仿宋_GB2312"/>
          <w:color w:val="auto"/>
          <w:kern w:val="2"/>
          <w:sz w:val="32"/>
          <w:szCs w:val="32"/>
          <w:highlight w:val="none"/>
          <w:vertAlign w:val="baseline"/>
          <w:lang w:val="en-US" w:eastAsia="zh-CN" w:bidi="ar-SA"/>
        </w:rPr>
        <w:t>/h，工艺为</w:t>
      </w:r>
      <w:r>
        <w:rPr>
          <w:rFonts w:hint="eastAsia" w:ascii="仿宋_GB2312" w:hAnsi="仿宋_GB2312" w:eastAsia="仿宋_GB2312" w:cs="仿宋_GB2312"/>
          <w:color w:val="auto"/>
          <w:kern w:val="0"/>
          <w:sz w:val="32"/>
          <w:szCs w:val="32"/>
          <w:u w:val="none"/>
          <w:lang w:val="en-US" w:eastAsia="zh-CN" w:bidi="ar"/>
        </w:rPr>
        <w:t>中和—絮凝—沉淀—吸附</w:t>
      </w:r>
      <w:r>
        <w:rPr>
          <w:rFonts w:hint="eastAsia" w:ascii="仿宋_GB2312" w:hAnsi="仿宋_GB2312" w:eastAsia="仿宋_GB2312" w:cs="仿宋_GB2312"/>
          <w:color w:val="auto"/>
          <w:kern w:val="2"/>
          <w:sz w:val="32"/>
          <w:szCs w:val="32"/>
          <w:highlight w:val="none"/>
          <w:vertAlign w:val="baseli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。储运工程：设一座地埋卧式</w:t>
      </w:r>
      <w:r>
        <w:rPr>
          <w:rFonts w:hint="eastAsia" w:ascii="仿宋_GB2312" w:hAnsi="仿宋_GB2312" w:eastAsia="仿宋_GB2312" w:cs="仿宋_GB2312"/>
          <w:color w:val="auto"/>
          <w:kern w:val="2"/>
          <w:sz w:val="32"/>
          <w:szCs w:val="32"/>
          <w:highlight w:val="none"/>
          <w:vertAlign w:val="baseline"/>
          <w:lang w:val="en-US" w:eastAsia="zh-CN" w:bidi="ar-SA"/>
        </w:rPr>
        <w:t>防腐</w:t>
      </w:r>
      <w:r>
        <w:rPr>
          <w:rFonts w:hint="eastAsia" w:ascii="仿宋_GB2312" w:hAnsi="仿宋_GB2312" w:eastAsia="仿宋_GB2312" w:cs="仿宋_GB2312"/>
          <w:color w:val="auto"/>
          <w:kern w:val="2"/>
          <w:sz w:val="32"/>
          <w:szCs w:val="32"/>
          <w:highlight w:val="none"/>
          <w:lang w:val="en-US" w:eastAsia="zh-CN" w:bidi="ar-SA"/>
        </w:rPr>
        <w:t>玻璃钢污水储罐及其配套连接设施，有效容积为7.2</w:t>
      </w:r>
      <w:r>
        <w:rPr>
          <w:rFonts w:hint="eastAsia" w:ascii="仿宋_GB2312" w:hAnsi="仿宋_GB2312" w:eastAsia="仿宋_GB2312" w:cs="仿宋_GB2312"/>
          <w:color w:val="auto"/>
          <w:kern w:val="2"/>
          <w:sz w:val="32"/>
          <w:szCs w:val="32"/>
          <w:highlight w:val="none"/>
          <w:vertAlign w:val="baseline"/>
          <w:lang w:val="en-US" w:eastAsia="zh-CN" w:bidi="ar-SA"/>
        </w:rPr>
        <w:t>m</w:t>
      </w:r>
      <w:r>
        <w:rPr>
          <w:rFonts w:hint="eastAsia" w:ascii="仿宋_GB2312" w:hAnsi="仿宋_GB2312" w:eastAsia="仿宋_GB2312" w:cs="仿宋_GB2312"/>
          <w:color w:val="auto"/>
          <w:kern w:val="2"/>
          <w:sz w:val="32"/>
          <w:szCs w:val="32"/>
          <w:highlight w:val="none"/>
          <w:vertAlign w:val="superscript"/>
          <w:lang w:val="en-US" w:eastAsia="zh-CN" w:bidi="ar-SA"/>
        </w:rPr>
        <w:t>3</w:t>
      </w:r>
      <w:r>
        <w:rPr>
          <w:rFonts w:hint="eastAsia" w:ascii="仿宋_GB2312" w:hAnsi="仿宋_GB2312" w:eastAsia="仿宋_GB2312" w:cs="仿宋_GB2312"/>
          <w:color w:val="auto"/>
          <w:kern w:val="2"/>
          <w:sz w:val="32"/>
          <w:szCs w:val="32"/>
          <w:highlight w:val="none"/>
          <w:vertAlign w:val="baseline"/>
          <w:lang w:val="en-US" w:eastAsia="zh-CN" w:bidi="ar-SA"/>
        </w:rPr>
        <w:t>；利用厂区南侧现有的一座</w:t>
      </w:r>
      <w:r>
        <w:rPr>
          <w:rFonts w:hint="eastAsia" w:ascii="仿宋_GB2312" w:hAnsi="仿宋_GB2312" w:eastAsia="仿宋_GB2312" w:cs="仿宋_GB2312"/>
          <w:color w:val="auto"/>
          <w:kern w:val="2"/>
          <w:sz w:val="32"/>
          <w:szCs w:val="32"/>
          <w:highlight w:val="none"/>
          <w:lang w:val="en-US" w:eastAsia="zh-CN" w:bidi="ar-SA"/>
        </w:rPr>
        <w:t>200m</w:t>
      </w:r>
      <w:r>
        <w:rPr>
          <w:rFonts w:hint="eastAsia" w:ascii="仿宋_GB2312" w:hAnsi="仿宋_GB2312" w:eastAsia="仿宋_GB2312" w:cs="仿宋_GB2312"/>
          <w:color w:val="auto"/>
          <w:kern w:val="2"/>
          <w:sz w:val="32"/>
          <w:szCs w:val="32"/>
          <w:highlight w:val="none"/>
          <w:vertAlign w:val="superscript"/>
          <w:lang w:val="en-US" w:eastAsia="zh-CN" w:bidi="ar-SA"/>
        </w:rPr>
        <w:t>2</w:t>
      </w:r>
      <w:r>
        <w:rPr>
          <w:rFonts w:hint="eastAsia" w:ascii="仿宋_GB2312" w:hAnsi="仿宋_GB2312" w:eastAsia="仿宋_GB2312" w:cs="仿宋_GB2312"/>
          <w:color w:val="auto"/>
          <w:kern w:val="2"/>
          <w:sz w:val="32"/>
          <w:szCs w:val="32"/>
          <w:highlight w:val="none"/>
          <w:lang w:val="en-US" w:eastAsia="zh-CN" w:bidi="ar-SA"/>
        </w:rPr>
        <w:t>砖混结构库房存放脱漆剂；环保工程：新建</w:t>
      </w:r>
      <w:r>
        <w:rPr>
          <w:rFonts w:hint="eastAsia" w:ascii="仿宋_GB2312" w:hAnsi="仿宋_GB2312" w:eastAsia="仿宋_GB2312" w:cs="仿宋_GB2312"/>
          <w:color w:val="auto"/>
          <w:sz w:val="32"/>
          <w:szCs w:val="32"/>
          <w:highlight w:val="none"/>
          <w:u w:val="none"/>
          <w:lang w:val="en-US" w:eastAsia="zh-CN"/>
        </w:rPr>
        <w:t>6m</w:t>
      </w:r>
      <w:r>
        <w:rPr>
          <w:rFonts w:hint="eastAsia" w:ascii="仿宋_GB2312" w:hAnsi="仿宋_GB2312" w:eastAsia="仿宋_GB2312" w:cs="仿宋_GB2312"/>
          <w:color w:val="auto"/>
          <w:sz w:val="32"/>
          <w:szCs w:val="32"/>
          <w:highlight w:val="none"/>
          <w:u w:val="none"/>
          <w:vertAlign w:val="superscript"/>
          <w:lang w:val="en-US" w:eastAsia="zh-CN"/>
        </w:rPr>
        <w:t>2</w:t>
      </w:r>
      <w:r>
        <w:rPr>
          <w:rFonts w:hint="eastAsia" w:ascii="仿宋_GB2312" w:hAnsi="仿宋_GB2312" w:eastAsia="仿宋_GB2312" w:cs="仿宋_GB2312"/>
          <w:color w:val="auto"/>
          <w:kern w:val="2"/>
          <w:sz w:val="32"/>
          <w:szCs w:val="32"/>
          <w:highlight w:val="none"/>
          <w:lang w:val="en-US" w:eastAsia="zh-CN" w:bidi="ar-SA"/>
        </w:rPr>
        <w:t>危废贮存点；</w:t>
      </w:r>
      <w:r>
        <w:rPr>
          <w:rFonts w:hint="eastAsia" w:ascii="仿宋_GB2312" w:hAnsi="仿宋_GB2312" w:eastAsia="仿宋_GB2312" w:cs="仿宋_GB2312"/>
          <w:color w:val="auto"/>
          <w:sz w:val="32"/>
          <w:szCs w:val="32"/>
          <w:highlight w:val="none"/>
          <w:u w:val="none"/>
          <w:lang w:val="en-US" w:eastAsia="zh-CN"/>
        </w:rPr>
        <w:t>在生产车间内设置三面防渗集水沟，总长30米，宽0.1米，深0.15米；车间及库房出入口设置15cm高慢坡；设10m</w:t>
      </w:r>
      <w:r>
        <w:rPr>
          <w:rFonts w:hint="eastAsia" w:ascii="仿宋_GB2312" w:hAnsi="仿宋_GB2312" w:eastAsia="仿宋_GB2312" w:cs="仿宋_GB2312"/>
          <w:color w:val="auto"/>
          <w:sz w:val="32"/>
          <w:szCs w:val="32"/>
          <w:highlight w:val="none"/>
          <w:u w:val="none"/>
          <w:vertAlign w:val="superscript"/>
          <w:lang w:val="en-US" w:eastAsia="zh-CN"/>
        </w:rPr>
        <w:t>3</w:t>
      </w:r>
      <w:r>
        <w:rPr>
          <w:rFonts w:hint="eastAsia" w:ascii="仿宋_GB2312" w:hAnsi="仿宋_GB2312" w:eastAsia="仿宋_GB2312" w:cs="仿宋_GB2312"/>
          <w:color w:val="auto"/>
          <w:sz w:val="32"/>
          <w:szCs w:val="32"/>
          <w:highlight w:val="none"/>
          <w:u w:val="none"/>
          <w:lang w:val="en-US" w:eastAsia="zh-CN"/>
        </w:rPr>
        <w:t>事故废水池</w:t>
      </w:r>
      <w:r>
        <w:rPr>
          <w:rFonts w:hint="eastAsia" w:ascii="仿宋_GB2312" w:hAnsi="仿宋_GB2312" w:eastAsia="仿宋_GB2312" w:cs="仿宋_GB2312"/>
          <w:color w:val="auto"/>
          <w:sz w:val="32"/>
          <w:szCs w:val="32"/>
          <w:highlight w:val="none"/>
          <w:u w:val="none"/>
          <w:vertAlign w:val="baseline"/>
          <w:lang w:val="en-US" w:eastAsia="zh-CN"/>
        </w:rPr>
        <w:t>。</w:t>
      </w:r>
      <w:r>
        <w:rPr>
          <w:rFonts w:hint="eastAsia" w:ascii="仿宋_GB2312" w:hAnsi="仿宋_GB2312" w:eastAsia="仿宋_GB2312" w:cs="仿宋_GB2312"/>
          <w:color w:val="auto"/>
          <w:kern w:val="2"/>
          <w:sz w:val="32"/>
          <w:szCs w:val="32"/>
          <w:highlight w:val="none"/>
          <w:vertAlign w:val="baseline"/>
          <w:lang w:val="en-US" w:eastAsia="zh-CN" w:bidi="ar-SA"/>
        </w:rPr>
        <w:t>本项目总占地面积为2000m</w:t>
      </w:r>
      <w:r>
        <w:rPr>
          <w:rFonts w:hint="eastAsia" w:ascii="仿宋_GB2312" w:hAnsi="仿宋_GB2312" w:eastAsia="仿宋_GB2312" w:cs="仿宋_GB2312"/>
          <w:color w:val="auto"/>
          <w:kern w:val="2"/>
          <w:sz w:val="32"/>
          <w:szCs w:val="32"/>
          <w:highlight w:val="none"/>
          <w:vertAlign w:val="superscript"/>
          <w:lang w:val="en-US" w:eastAsia="zh-CN" w:bidi="ar-SA"/>
        </w:rPr>
        <w:t>2</w:t>
      </w:r>
      <w:r>
        <w:rPr>
          <w:rFonts w:hint="eastAsia" w:ascii="仿宋_GB2312" w:hAnsi="仿宋_GB2312" w:eastAsia="仿宋_GB2312" w:cs="仿宋_GB2312"/>
          <w:color w:val="auto"/>
          <w:kern w:val="2"/>
          <w:sz w:val="32"/>
          <w:szCs w:val="32"/>
          <w:highlight w:val="none"/>
          <w:vertAlign w:val="baseline"/>
          <w:lang w:val="en-US" w:eastAsia="zh-CN" w:bidi="ar-SA"/>
        </w:rPr>
        <w:t>，劳动定员8人，实行三班制，每班工作8小时，年工作300天，不设食宿。本项目</w:t>
      </w:r>
      <w:r>
        <w:rPr>
          <w:rFonts w:hint="eastAsia" w:ascii="仿宋_GB2312" w:hAnsi="仿宋_GB2312" w:eastAsia="仿宋_GB2312" w:cs="仿宋_GB2312"/>
          <w:color w:val="auto"/>
          <w:sz w:val="32"/>
          <w:szCs w:val="32"/>
          <w:highlight w:val="none"/>
          <w:u w:val="none"/>
        </w:rPr>
        <w:t>生产</w:t>
      </w:r>
      <w:r>
        <w:rPr>
          <w:rFonts w:hint="eastAsia" w:ascii="仿宋_GB2312" w:hAnsi="仿宋_GB2312" w:eastAsia="仿宋_GB2312" w:cs="仿宋_GB2312"/>
          <w:color w:val="auto"/>
          <w:sz w:val="32"/>
          <w:szCs w:val="32"/>
          <w:highlight w:val="none"/>
          <w:u w:val="none"/>
          <w:lang w:val="en-US" w:eastAsia="zh-CN"/>
        </w:rPr>
        <w:t>不用热</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生活供暖采用电采暖</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kern w:val="0"/>
          <w:sz w:val="32"/>
          <w:szCs w:val="32"/>
          <w:highlight w:val="none"/>
        </w:rPr>
        <w:t>项目总投资</w:t>
      </w:r>
      <w:r>
        <w:rPr>
          <w:rFonts w:hint="eastAsia" w:ascii="仿宋_GB2312" w:hAnsi="仿宋_GB2312" w:eastAsia="仿宋_GB2312" w:cs="仿宋_GB2312"/>
          <w:color w:val="auto"/>
          <w:kern w:val="0"/>
          <w:sz w:val="32"/>
          <w:szCs w:val="32"/>
          <w:highlight w:val="none"/>
          <w:lang w:val="en-US" w:eastAsia="zh-CN"/>
        </w:rPr>
        <w:t>100</w:t>
      </w:r>
      <w:r>
        <w:rPr>
          <w:rFonts w:hint="eastAsia" w:ascii="仿宋_GB2312" w:hAnsi="仿宋_GB2312" w:eastAsia="仿宋_GB2312" w:cs="仿宋_GB2312"/>
          <w:color w:val="auto"/>
          <w:kern w:val="0"/>
          <w:sz w:val="32"/>
          <w:szCs w:val="32"/>
          <w:highlight w:val="none"/>
        </w:rPr>
        <w:t>万</w:t>
      </w:r>
      <w:r>
        <w:rPr>
          <w:rFonts w:hint="eastAsia" w:ascii="仿宋_GB2312" w:hAnsi="仿宋_GB2312" w:eastAsia="仿宋_GB2312" w:cs="仿宋_GB2312"/>
          <w:color w:val="auto"/>
          <w:kern w:val="0"/>
          <w:sz w:val="32"/>
          <w:szCs w:val="32"/>
          <w:highlight w:val="none"/>
          <w:lang w:val="en-US" w:eastAsia="zh-CN"/>
        </w:rPr>
        <w:t>元</w:t>
      </w:r>
      <w:r>
        <w:rPr>
          <w:rFonts w:hint="eastAsia" w:ascii="仿宋_GB2312" w:hAnsi="仿宋_GB2312" w:eastAsia="仿宋_GB2312" w:cs="仿宋_GB2312"/>
          <w:color w:val="auto"/>
          <w:kern w:val="0"/>
          <w:sz w:val="32"/>
          <w:szCs w:val="32"/>
          <w:highlight w:val="none"/>
        </w:rPr>
        <w:t>，其中环保投资</w:t>
      </w:r>
      <w:r>
        <w:rPr>
          <w:rFonts w:hint="eastAsia" w:ascii="仿宋_GB2312" w:hAnsi="仿宋_GB2312" w:eastAsia="仿宋_GB2312" w:cs="仿宋_GB2312"/>
          <w:color w:val="auto"/>
          <w:kern w:val="0"/>
          <w:sz w:val="32"/>
          <w:szCs w:val="32"/>
          <w:highlight w:val="none"/>
          <w:lang w:val="en-US" w:eastAsia="zh-CN"/>
        </w:rPr>
        <w:t>21</w:t>
      </w:r>
      <w:r>
        <w:rPr>
          <w:rFonts w:hint="eastAsia" w:ascii="仿宋_GB2312" w:hAnsi="仿宋_GB2312" w:eastAsia="仿宋_GB2312" w:cs="仿宋_GB2312"/>
          <w:color w:val="auto"/>
          <w:kern w:val="0"/>
          <w:sz w:val="32"/>
          <w:szCs w:val="32"/>
          <w:highlight w:val="none"/>
        </w:rPr>
        <w:t>万</w:t>
      </w:r>
      <w:r>
        <w:rPr>
          <w:rFonts w:hint="eastAsia" w:ascii="仿宋_GB2312" w:hAnsi="仿宋_GB2312" w:eastAsia="仿宋_GB2312" w:cs="仿宋_GB2312"/>
          <w:color w:val="auto"/>
          <w:kern w:val="0"/>
          <w:sz w:val="32"/>
          <w:szCs w:val="32"/>
          <w:highlight w:val="none"/>
          <w:lang w:val="en-US" w:eastAsia="zh-CN"/>
        </w:rPr>
        <w:t>元</w:t>
      </w:r>
      <w:r>
        <w:rPr>
          <w:rFonts w:hint="eastAsia" w:ascii="仿宋_GB2312" w:hAnsi="仿宋_GB2312" w:eastAsia="仿宋_GB2312" w:cs="仿宋_GB2312"/>
          <w:color w:val="auto"/>
          <w:kern w:val="2"/>
          <w:sz w:val="32"/>
          <w:szCs w:val="32"/>
          <w:highlight w:val="none"/>
          <w:vertAlign w:val="baseline"/>
          <w:lang w:val="en-US" w:eastAsia="zh-CN" w:bidi="ar-SA"/>
        </w:rPr>
        <w:t>。根据环境影响报告表评价结论和技术评估意见，严格落实环境影响</w:t>
      </w:r>
      <w:r>
        <w:rPr>
          <w:rFonts w:hint="eastAsia" w:ascii="仿宋_GB2312" w:hAnsi="仿宋_GB2312" w:eastAsia="仿宋_GB2312" w:cs="仿宋_GB2312"/>
          <w:color w:val="auto"/>
          <w:sz w:val="32"/>
          <w:szCs w:val="32"/>
        </w:rPr>
        <w:t>报告表提出的各项环境保护和环境风险防控措施。我局原则同意建设单位按照环评报告及下述要求进行项目建设。该项目环境影响报告表（报批版）可以作为环保设计及其建成后环境管理依据。</w:t>
      </w:r>
    </w:p>
    <w:p w14:paraId="5DBA5BA6">
      <w:pPr>
        <w:keepNext w:val="0"/>
        <w:keepLines w:val="0"/>
        <w:pageBreakBefore w:val="0"/>
        <w:widowControl/>
        <w:suppressLineNumbers w:val="0"/>
        <w:kinsoku/>
        <w:wordWrap/>
        <w:overflowPunct/>
        <w:topLinePunct w:val="0"/>
        <w:bidi w:val="0"/>
        <w:snapToGrid/>
        <w:spacing w:line="52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二、项目建设应重点做好以下工作：</w:t>
      </w:r>
    </w:p>
    <w:p w14:paraId="0BDB4F9E">
      <w:pPr>
        <w:pStyle w:val="27"/>
        <w:keepNext w:val="0"/>
        <w:keepLines w:val="0"/>
        <w:pageBreakBefore w:val="0"/>
        <w:tabs>
          <w:tab w:val="left" w:pos="1260"/>
        </w:tabs>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1.加强建设期环境管理。施工期生活污水排入防渗旱厕</w:t>
      </w:r>
      <w:r>
        <w:rPr>
          <w:rFonts w:hint="eastAsia" w:ascii="仿宋_GB2312" w:hAnsi="仿宋_GB2312" w:cs="仿宋_GB2312"/>
          <w:color w:val="auto"/>
          <w:sz w:val="32"/>
          <w:szCs w:val="32"/>
          <w:lang w:val="en-US" w:eastAsia="zh-CN"/>
        </w:rPr>
        <w:t>，定期</w:t>
      </w:r>
      <w:r>
        <w:rPr>
          <w:rFonts w:hint="eastAsia" w:ascii="仿宋_GB2312" w:hAnsi="仿宋_GB2312" w:eastAsia="仿宋_GB2312" w:cs="仿宋_GB2312"/>
          <w:color w:val="auto"/>
          <w:sz w:val="32"/>
          <w:szCs w:val="32"/>
          <w:lang w:val="en-US" w:eastAsia="zh-CN"/>
        </w:rPr>
        <w:t>清掏用作农肥。施工现场</w:t>
      </w:r>
      <w:r>
        <w:rPr>
          <w:rFonts w:hint="eastAsia" w:ascii="仿宋_GB2312" w:hAnsi="仿宋_GB2312" w:eastAsia="仿宋_GB2312" w:cs="仿宋_GB2312"/>
          <w:kern w:val="0"/>
          <w:sz w:val="32"/>
          <w:szCs w:val="32"/>
          <w:lang w:val="en-US" w:eastAsia="zh-CN"/>
        </w:rPr>
        <w:t>设置围挡，</w:t>
      </w:r>
      <w:r>
        <w:rPr>
          <w:rFonts w:hint="eastAsia" w:ascii="仿宋_GB2312" w:hAnsi="仿宋_GB2312" w:eastAsia="仿宋_GB2312" w:cs="仿宋_GB2312"/>
          <w:color w:val="auto"/>
          <w:sz w:val="32"/>
          <w:szCs w:val="32"/>
          <w:lang w:val="en-US" w:eastAsia="zh-CN"/>
        </w:rPr>
        <w:t>地面洒水降尘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color w:val="auto"/>
          <w:sz w:val="32"/>
          <w:szCs w:val="32"/>
          <w:lang w:val="en-US" w:eastAsia="zh-CN"/>
        </w:rPr>
        <w:t>对易产尘的建筑材料采取防尘覆盖措施。废弃土石方送至建筑垃圾指定堆放点，生活垃圾集中收集，由环卫部门清运。使用低噪声施工机械，控制施工期噪声符合《建筑施工场界环境噪声排放标准》（GB12523-2011）要求，夜间禁止施工，将项目建设对外界环境影响降至最低。落实施工期的各项污染防治措施，防止环境污染和扰民事件发生。</w:t>
      </w:r>
    </w:p>
    <w:p w14:paraId="7B55957C">
      <w:pPr>
        <w:pStyle w:val="27"/>
        <w:keepNext w:val="0"/>
        <w:keepLines w:val="0"/>
        <w:pageBreakBefore w:val="0"/>
        <w:tabs>
          <w:tab w:val="left" w:pos="1260"/>
        </w:tabs>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2.本项目运营期</w:t>
      </w:r>
      <w:r>
        <w:rPr>
          <w:rFonts w:hint="eastAsia" w:ascii="仿宋_GB2312" w:hAnsi="仿宋_GB2312" w:eastAsia="仿宋_GB2312" w:cs="仿宋_GB2312"/>
          <w:color w:val="auto"/>
          <w:sz w:val="32"/>
          <w:szCs w:val="32"/>
          <w:lang w:val="en-US" w:eastAsia="zh-CN"/>
        </w:rPr>
        <w:t>生活污水排入防渗旱厕，定期清掏</w:t>
      </w:r>
      <w:r>
        <w:rPr>
          <w:rFonts w:hint="eastAsia" w:ascii="仿宋_GB2312" w:hAnsi="仿宋_GB2312" w:cs="仿宋_GB2312"/>
          <w:color w:val="auto"/>
          <w:sz w:val="32"/>
          <w:szCs w:val="32"/>
          <w:lang w:val="en-US" w:eastAsia="zh-CN"/>
        </w:rPr>
        <w:t>用作</w:t>
      </w:r>
      <w:r>
        <w:rPr>
          <w:rFonts w:hint="eastAsia" w:ascii="仿宋_GB2312" w:hAnsi="仿宋_GB2312" w:eastAsia="仿宋_GB2312" w:cs="仿宋_GB2312"/>
          <w:color w:val="auto"/>
          <w:sz w:val="32"/>
          <w:szCs w:val="32"/>
          <w:lang w:val="en-US" w:eastAsia="zh-CN"/>
        </w:rPr>
        <w:t>农肥；冲洗废水落入冲洗桶中，再经地沟进入污水储罐，进入污水一体化处理设施处理后泵抽回用，定期排放，排至</w:t>
      </w:r>
      <w:r>
        <w:rPr>
          <w:rFonts w:hint="eastAsia" w:ascii="仿宋_GB2312" w:hAnsi="仿宋_GB2312" w:eastAsia="仿宋_GB2312" w:cs="仿宋_GB2312"/>
          <w:bCs/>
          <w:color w:val="auto"/>
          <w:kern w:val="0"/>
          <w:sz w:val="32"/>
          <w:szCs w:val="32"/>
          <w:lang w:val="en-US" w:eastAsia="zh-CN" w:bidi="ar-SA"/>
        </w:rPr>
        <w:t>有处理资质的污水处理厂</w:t>
      </w:r>
      <w:r>
        <w:rPr>
          <w:rFonts w:hint="eastAsia" w:ascii="仿宋_GB2312" w:hAnsi="仿宋_GB2312" w:eastAsia="仿宋_GB2312" w:cs="仿宋_GB2312"/>
          <w:color w:val="auto"/>
          <w:sz w:val="32"/>
          <w:szCs w:val="32"/>
          <w:lang w:val="en-US" w:eastAsia="zh-CN"/>
        </w:rPr>
        <w:t>处理，加强管理，确保出厂废水满足与污水处理厂的协议标准</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bCs/>
          <w:color w:val="auto"/>
          <w:kern w:val="0"/>
          <w:sz w:val="32"/>
          <w:szCs w:val="32"/>
          <w:lang w:val="en-US" w:eastAsia="zh-CN" w:bidi="ar-SA"/>
        </w:rPr>
        <w:t>严禁采用渗坑渗井等方式排放生产废水，严禁排入防渗旱厕</w:t>
      </w:r>
      <w:r>
        <w:rPr>
          <w:rFonts w:hint="eastAsia" w:ascii="仿宋_GB2312" w:hAnsi="仿宋_GB2312" w:eastAsia="仿宋_GB2312" w:cs="仿宋_GB2312"/>
          <w:color w:val="auto"/>
          <w:sz w:val="32"/>
          <w:szCs w:val="32"/>
          <w:lang w:val="en-US" w:eastAsia="zh-CN"/>
        </w:rPr>
        <w:t>。</w:t>
      </w:r>
    </w:p>
    <w:p w14:paraId="0615CCDF">
      <w:pPr>
        <w:pStyle w:val="16"/>
        <w:keepNext w:val="0"/>
        <w:keepLines w:val="0"/>
        <w:pageBreakBefore w:val="0"/>
        <w:kinsoku/>
        <w:wordWrap/>
        <w:overflowPunct/>
        <w:topLinePunct w:val="0"/>
        <w:bidi w:val="0"/>
        <w:snapToGrid/>
        <w:spacing w:line="52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3.本项目生产期间</w:t>
      </w:r>
      <w:r>
        <w:rPr>
          <w:rFonts w:hint="eastAsia" w:ascii="仿宋_GB2312" w:hAnsi="仿宋_GB2312" w:eastAsia="仿宋_GB2312" w:cs="仿宋_GB2312"/>
          <w:color w:val="auto"/>
          <w:kern w:val="0"/>
          <w:sz w:val="32"/>
          <w:szCs w:val="32"/>
          <w:lang w:val="en-US" w:eastAsia="zh-CN"/>
        </w:rPr>
        <w:t>车间</w:t>
      </w:r>
      <w:r>
        <w:rPr>
          <w:rFonts w:hint="eastAsia" w:ascii="仿宋_GB2312" w:hAnsi="仿宋_GB2312" w:eastAsia="仿宋_GB2312" w:cs="仿宋_GB2312"/>
          <w:color w:val="auto"/>
          <w:kern w:val="2"/>
          <w:sz w:val="32"/>
          <w:szCs w:val="32"/>
          <w:lang w:val="en-US" w:eastAsia="zh-CN" w:bidi="ar-SA"/>
        </w:rPr>
        <w:t>密闭，浸泡、除漆、沥干废气、冲洗、沥水废气经集气罩收集，进入活性炭吸</w:t>
      </w:r>
      <w:r>
        <w:rPr>
          <w:rFonts w:hint="eastAsia" w:ascii="仿宋_GB2312" w:hAnsi="仿宋_GB2312" w:eastAsia="仿宋_GB2312" w:cs="仿宋_GB2312"/>
          <w:color w:val="auto"/>
          <w:kern w:val="0"/>
          <w:sz w:val="32"/>
          <w:szCs w:val="32"/>
          <w:lang w:val="en-US" w:eastAsia="zh-CN"/>
        </w:rPr>
        <w:t>附处理后由15m高排气筒排放</w:t>
      </w:r>
      <w:r>
        <w:rPr>
          <w:rFonts w:hint="eastAsia" w:ascii="仿宋_GB2312" w:hAnsi="仿宋_GB2312" w:eastAsia="仿宋_GB2312" w:cs="仿宋_GB2312"/>
          <w:color w:val="auto"/>
          <w:kern w:val="2"/>
          <w:sz w:val="32"/>
          <w:szCs w:val="32"/>
          <w:lang w:val="en-US" w:eastAsia="zh-CN" w:bidi="ar-SA"/>
        </w:rPr>
        <w:t>。加强管理，非甲烷总烃有组织排放执行《大气污染物综合排放标准》（GB16297-1996）表2新污染源大气污染排放</w:t>
      </w:r>
      <w:r>
        <w:rPr>
          <w:rFonts w:hint="eastAsia" w:cs="仿宋_GB2312"/>
          <w:color w:val="auto"/>
          <w:kern w:val="2"/>
          <w:sz w:val="32"/>
          <w:szCs w:val="32"/>
          <w:lang w:val="en-US" w:eastAsia="zh-CN" w:bidi="ar-SA"/>
        </w:rPr>
        <w:t>限值</w:t>
      </w:r>
      <w:r>
        <w:rPr>
          <w:rFonts w:hint="eastAsia" w:ascii="仿宋_GB2312" w:hAnsi="仿宋_GB2312" w:eastAsia="仿宋_GB2312" w:cs="仿宋_GB2312"/>
          <w:color w:val="auto"/>
          <w:kern w:val="2"/>
          <w:sz w:val="32"/>
          <w:szCs w:val="32"/>
          <w:lang w:val="en-US" w:eastAsia="zh-CN" w:bidi="ar-SA"/>
        </w:rPr>
        <w:t>二级排放</w:t>
      </w:r>
      <w:r>
        <w:rPr>
          <w:rFonts w:hint="eastAsia" w:cs="仿宋_GB2312"/>
          <w:color w:val="auto"/>
          <w:kern w:val="2"/>
          <w:sz w:val="32"/>
          <w:szCs w:val="32"/>
          <w:lang w:val="en-US" w:eastAsia="zh-CN" w:bidi="ar-SA"/>
        </w:rPr>
        <w:t>标准</w:t>
      </w:r>
      <w:r>
        <w:rPr>
          <w:rFonts w:hint="eastAsia" w:ascii="仿宋_GB2312" w:hAnsi="仿宋_GB2312" w:eastAsia="仿宋_GB2312" w:cs="仿宋_GB2312"/>
          <w:color w:val="auto"/>
          <w:kern w:val="2"/>
          <w:sz w:val="32"/>
          <w:szCs w:val="32"/>
          <w:lang w:val="en-US" w:eastAsia="zh-CN" w:bidi="ar-SA"/>
        </w:rPr>
        <w:t>；厂内VOCs无组织排放执行《挥发性有机物无组织排放控制标准》（GB37822-2019）表A.1中厂区内VOCs无组织排放限值；厂界非甲烷总烃无组织排放执行《大气污染物综合排放标准》（GB16297-1996）表2</w:t>
      </w:r>
      <w:r>
        <w:rPr>
          <w:rFonts w:hint="eastAsia" w:cs="仿宋_GB2312"/>
          <w:color w:val="auto"/>
          <w:kern w:val="2"/>
          <w:sz w:val="32"/>
          <w:szCs w:val="32"/>
          <w:lang w:val="en-US" w:eastAsia="zh-CN" w:bidi="ar-SA"/>
        </w:rPr>
        <w:t>要求</w:t>
      </w:r>
      <w:r>
        <w:rPr>
          <w:rFonts w:hint="eastAsia" w:ascii="仿宋_GB2312" w:hAnsi="仿宋_GB2312" w:eastAsia="仿宋_GB2312" w:cs="仿宋_GB2312"/>
          <w:color w:val="auto"/>
          <w:kern w:val="2"/>
          <w:sz w:val="32"/>
          <w:szCs w:val="32"/>
          <w:lang w:val="en-US" w:eastAsia="zh-CN" w:bidi="ar-SA"/>
        </w:rPr>
        <w:t>。</w:t>
      </w:r>
    </w:p>
    <w:p w14:paraId="3852204B">
      <w:pPr>
        <w:pStyle w:val="16"/>
        <w:keepNext w:val="0"/>
        <w:keepLines w:val="0"/>
        <w:pageBreakBefore w:val="0"/>
        <w:kinsoku/>
        <w:wordWrap/>
        <w:overflowPunct/>
        <w:topLinePunct w:val="0"/>
        <w:bidi w:val="0"/>
        <w:snapToGrid/>
        <w:spacing w:line="52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4.优先选用低噪音设备，合理布局，采取有效的隔声减振措施，确保厂界噪声符合《工业企业厂界环境噪声排放标准》（GB12348-2008</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sz w:val="32"/>
          <w:szCs w:val="32"/>
          <w:lang w:val="en-US" w:eastAsia="zh-CN"/>
        </w:rPr>
        <w:t>类声环境功能区限值。</w:t>
      </w:r>
    </w:p>
    <w:p w14:paraId="1F64279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5.严格按照有关规定，对固体废物实施分类处理、处置，做到“减量化、资源化、无害化”，防止产生二次污染。本项目运营期废水处理产生的废活性炭由专用带盖容器盛装并置于托盘上，废漆渣、废除漆剂、污水站污泥采用专用带盖容器盛装，与废脱漆剂桶共同暂存于危废贮存点，定期委托有资质单位处置；生活垃圾集中收集后由环卫部门统一清运。加强管理，确保危险废物处置符合《危险废物贮存污染控制标准》（GB18597-2023）及《危险废物转移管理办法》（生态环境部令 第23号）</w:t>
      </w:r>
      <w:r>
        <w:rPr>
          <w:rFonts w:hint="eastAsia"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固体废物处置符合《一般工业固体废物贮存和填埋污染控制标准》（GB18599-2020）。　</w:t>
      </w:r>
    </w:p>
    <w:p w14:paraId="79BD873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6.落实地下水和土壤污染防治措施。厂区采取分区防渗，本项目危废贮存点、</w:t>
      </w:r>
      <w:r>
        <w:rPr>
          <w:rFonts w:hint="eastAsia" w:ascii="仿宋_GB2312" w:hAnsi="仿宋_GB2312" w:eastAsia="仿宋_GB2312" w:cs="仿宋_GB2312"/>
          <w:bCs/>
          <w:color w:val="auto"/>
          <w:kern w:val="0"/>
          <w:sz w:val="32"/>
          <w:szCs w:val="32"/>
          <w:lang w:val="en-US" w:eastAsia="zh-CN" w:bidi="ar-SA"/>
        </w:rPr>
        <w:t>事故池、</w:t>
      </w:r>
      <w:r>
        <w:rPr>
          <w:rFonts w:hint="eastAsia" w:ascii="仿宋_GB2312" w:hAnsi="仿宋_GB2312" w:eastAsia="仿宋_GB2312" w:cs="仿宋_GB2312"/>
          <w:color w:val="auto"/>
          <w:kern w:val="0"/>
          <w:sz w:val="32"/>
          <w:szCs w:val="32"/>
          <w:lang w:val="en-US" w:eastAsia="zh-CN" w:bidi="ar-SA"/>
        </w:rPr>
        <w:t>污水储罐区</w:t>
      </w:r>
      <w:r>
        <w:rPr>
          <w:rFonts w:hint="eastAsia" w:ascii="仿宋_GB2312" w:hAnsi="仿宋_GB2312" w:eastAsia="仿宋_GB2312" w:cs="仿宋_GB2312"/>
          <w:bCs/>
          <w:color w:val="auto"/>
          <w:kern w:val="0"/>
          <w:sz w:val="32"/>
          <w:szCs w:val="32"/>
          <w:lang w:val="en-US" w:eastAsia="zh-CN" w:bidi="ar-SA"/>
        </w:rPr>
        <w:t>及车间内与污水有接触的操作区域为重点防渗区</w:t>
      </w:r>
      <w:r>
        <w:rPr>
          <w:rFonts w:hint="eastAsia" w:ascii="仿宋_GB2312" w:hAnsi="仿宋_GB2312" w:eastAsia="仿宋_GB2312" w:cs="仿宋_GB2312"/>
          <w:color w:val="auto"/>
          <w:kern w:val="0"/>
          <w:sz w:val="32"/>
          <w:szCs w:val="32"/>
          <w:lang w:val="en-US" w:eastAsia="zh-CN" w:bidi="ar-SA"/>
        </w:rPr>
        <w:t>；生产车间其他位置、库房为一般防渗区</w:t>
      </w:r>
      <w:r>
        <w:rPr>
          <w:rFonts w:hint="eastAsia" w:ascii="仿宋_GB2312" w:hAnsi="仿宋_GB2312" w:eastAsia="仿宋_GB2312" w:cs="仿宋_GB2312"/>
          <w:bCs/>
          <w:color w:val="auto"/>
          <w:kern w:val="0"/>
          <w:sz w:val="32"/>
          <w:szCs w:val="32"/>
          <w:lang w:val="en-US" w:eastAsia="zh-CN" w:bidi="ar-SA"/>
        </w:rPr>
        <w:t>。</w:t>
      </w:r>
    </w:p>
    <w:p w14:paraId="1F19D39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7.严格落实环评报告中的风险防范和应急措施。污水储罐罐体外壁采取“三布五油”防腐措施，储罐周围及底部采取抗渗措施；在生产车间及库房出入口设置慢坡；设置10m</w:t>
      </w:r>
      <w:r>
        <w:rPr>
          <w:rFonts w:hint="eastAsia" w:ascii="仿宋_GB2312" w:hAnsi="仿宋_GB2312" w:eastAsia="仿宋_GB2312" w:cs="仿宋_GB2312"/>
          <w:color w:val="auto"/>
          <w:kern w:val="0"/>
          <w:sz w:val="32"/>
          <w:szCs w:val="32"/>
          <w:vertAlign w:val="superscript"/>
          <w:lang w:val="en-US" w:eastAsia="zh-CN" w:bidi="ar-SA"/>
        </w:rPr>
        <w:t>3</w:t>
      </w:r>
      <w:r>
        <w:rPr>
          <w:rFonts w:hint="eastAsia" w:ascii="仿宋_GB2312" w:hAnsi="仿宋_GB2312" w:eastAsia="仿宋_GB2312" w:cs="仿宋_GB2312"/>
          <w:color w:val="auto"/>
          <w:kern w:val="0"/>
          <w:sz w:val="32"/>
          <w:szCs w:val="32"/>
          <w:lang w:val="en-US" w:eastAsia="zh-CN" w:bidi="ar-SA"/>
        </w:rPr>
        <w:t>应急事故池用于事故废水储存</w:t>
      </w:r>
      <w:r>
        <w:rPr>
          <w:rFonts w:hint="eastAsia" w:cs="仿宋_GB2312"/>
          <w:color w:val="auto"/>
          <w:kern w:val="0"/>
          <w:sz w:val="32"/>
          <w:szCs w:val="32"/>
          <w:lang w:val="en-US" w:eastAsia="zh-CN" w:bidi="ar-SA"/>
        </w:rPr>
        <w:t>，事故废水及时排入有资质污水处理厂处理</w:t>
      </w:r>
      <w:r>
        <w:rPr>
          <w:rFonts w:hint="eastAsia" w:ascii="仿宋_GB2312" w:hAnsi="仿宋_GB2312" w:eastAsia="仿宋_GB2312" w:cs="仿宋_GB2312"/>
          <w:color w:val="auto"/>
          <w:kern w:val="0"/>
          <w:sz w:val="32"/>
          <w:szCs w:val="32"/>
          <w:lang w:val="en-US" w:eastAsia="zh-CN" w:bidi="ar-SA"/>
        </w:rPr>
        <w:t>。制定污染事故防范和处理应急预案，提高事故风险防范和污染控制能力。</w:t>
      </w:r>
      <w:r>
        <w:rPr>
          <w:rFonts w:hint="eastAsia" w:ascii="仿宋_GB2312" w:hAnsi="仿宋_GB2312" w:eastAsia="仿宋_GB2312" w:cs="仿宋_GB2312"/>
          <w:bCs/>
          <w:color w:val="auto"/>
          <w:sz w:val="32"/>
          <w:szCs w:val="32"/>
          <w:highlight w:val="none"/>
          <w:u w:val="none" w:color="auto"/>
          <w:lang w:val="en-US" w:eastAsia="zh-CN"/>
        </w:rPr>
        <w:t>增强员工的环境风险防范意识，定期进行环境安全隐患排查，杜绝发生环境风险事故。</w:t>
      </w:r>
    </w:p>
    <w:p w14:paraId="43325AE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8.企业应按照相关要求落实监测计划。</w:t>
      </w:r>
    </w:p>
    <w:p w14:paraId="51F518F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47F6C3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2E0B4AD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1B445562">
      <w:pPr>
        <w:keepNext w:val="0"/>
        <w:keepLines w:val="0"/>
        <w:pageBreakBefore w:val="0"/>
        <w:widowControl w:val="0"/>
        <w:kinsoku/>
        <w:wordWrap/>
        <w:overflowPunct/>
        <w:topLinePunct w:val="0"/>
        <w:autoSpaceDE w:val="0"/>
        <w:autoSpaceDN w:val="0"/>
        <w:bidi w:val="0"/>
        <w:adjustRightInd w:val="0"/>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0"/>
          <w:sz w:val="32"/>
          <w:szCs w:val="32"/>
          <w:lang w:val="en-US" w:eastAsia="zh-CN" w:bidi="ar-SA"/>
        </w:rPr>
        <w:t>六、由吉林市生态环境保护综合行政执法支队龙潭大队负责按照《建设项目环境保护事中事后监督管理办法（试行）》（环发〔2015〕163号）的规定，进行本建设项目事中事后的环境监督管理工作。</w:t>
      </w:r>
    </w:p>
    <w:p w14:paraId="0ABF153B">
      <w:pPr>
        <w:pStyle w:val="6"/>
        <w:rPr>
          <w:rFonts w:hint="eastAsia"/>
          <w:lang w:eastAsia="zh-CN"/>
        </w:rPr>
      </w:pPr>
    </w:p>
    <w:p w14:paraId="4F50A590">
      <w:pPr>
        <w:pStyle w:val="7"/>
        <w:widowControl w:val="0"/>
        <w:numPr>
          <w:ilvl w:val="0"/>
          <w:numId w:val="0"/>
        </w:numPr>
        <w:spacing w:line="576" w:lineRule="exact"/>
        <w:jc w:val="both"/>
        <w:rPr>
          <w:rFonts w:hint="eastAsia"/>
          <w:lang w:eastAsia="zh-CN"/>
        </w:rPr>
      </w:pPr>
    </w:p>
    <w:p w14:paraId="526215A7">
      <w:pPr>
        <w:pStyle w:val="7"/>
        <w:widowControl w:val="0"/>
        <w:numPr>
          <w:ilvl w:val="0"/>
          <w:numId w:val="0"/>
        </w:numPr>
        <w:spacing w:line="576" w:lineRule="exact"/>
        <w:jc w:val="both"/>
        <w:rPr>
          <w:rFonts w:hint="eastAsia"/>
          <w:lang w:eastAsia="zh-CN"/>
        </w:rPr>
      </w:pPr>
    </w:p>
    <w:p w14:paraId="7CDFEAC4">
      <w:pPr>
        <w:keepNext w:val="0"/>
        <w:keepLines w:val="0"/>
        <w:pageBreakBefore w:val="0"/>
        <w:widowControl w:val="0"/>
        <w:kinsoku/>
        <w:wordWrap/>
        <w:overflowPunct/>
        <w:topLinePunct w:val="0"/>
        <w:autoSpaceDE w:val="0"/>
        <w:autoSpaceDN w:val="0"/>
        <w:bidi w:val="0"/>
        <w:adjustRightInd w:val="0"/>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7E14DD2F">
      <w:pPr>
        <w:keepNext w:val="0"/>
        <w:keepLines w:val="0"/>
        <w:pageBreakBefore w:val="0"/>
        <w:widowControl w:val="0"/>
        <w:kinsoku/>
        <w:wordWrap/>
        <w:overflowPunct/>
        <w:topLinePunct w:val="0"/>
        <w:autoSpaceDE w:val="0"/>
        <w:autoSpaceDN w:val="0"/>
        <w:bidi w:val="0"/>
        <w:adjustRightInd w:val="0"/>
        <w:snapToGrid/>
        <w:spacing w:line="56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cs="仿宋_GB2312"/>
          <w:sz w:val="32"/>
          <w:szCs w:val="32"/>
          <w:lang w:val="en-US" w:eastAsia="zh-CN"/>
        </w:rPr>
        <w:t>2025</w:t>
      </w:r>
      <w:r>
        <w:rPr>
          <w:rFonts w:hint="eastAsia" w:ascii="仿宋_GB2312" w:hAnsi="仿宋_GB2312" w:eastAsia="仿宋_GB2312" w:cs="仿宋_GB2312"/>
          <w:sz w:val="32"/>
          <w:szCs w:val="32"/>
        </w:rPr>
        <w:t>年</w:t>
      </w:r>
      <w:r>
        <w:rPr>
          <w:rFonts w:hint="eastAsia" w:cs="仿宋_GB2312"/>
          <w:sz w:val="32"/>
          <w:szCs w:val="32"/>
          <w:lang w:val="en-US" w:eastAsia="zh-CN"/>
        </w:rPr>
        <w:t>12月20</w:t>
      </w:r>
      <w:r>
        <w:rPr>
          <w:rFonts w:hint="eastAsia" w:ascii="仿宋_GB2312" w:hAnsi="仿宋_GB2312" w:eastAsia="仿宋_GB2312" w:cs="仿宋_GB2312"/>
          <w:sz w:val="32"/>
          <w:szCs w:val="32"/>
        </w:rPr>
        <w:t>日</w:t>
      </w:r>
      <w:r>
        <w:rPr>
          <w:rFonts w:hint="eastAsia" w:cs="仿宋_GB2312"/>
          <w:sz w:val="32"/>
          <w:szCs w:val="32"/>
          <w:lang w:val="en-US" w:eastAsia="zh-CN"/>
        </w:rPr>
        <w:t xml:space="preserve">        </w:t>
      </w:r>
    </w:p>
    <w:tbl>
      <w:tblPr>
        <w:tblStyle w:val="19"/>
        <w:tblpPr w:vertAnchor="page" w:horzAnchor="page" w:tblpX="1522" w:tblpY="1419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7E236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56620AF">
            <w:pPr>
              <w:ind w:left="1160" w:leftChars="100" w:hanging="840" w:hangingChars="300"/>
              <w:jc w:val="left"/>
              <w:rPr>
                <w:rFonts w:ascii="仿宋" w:hAnsi="仿宋" w:eastAsia="仿宋"/>
                <w:sz w:val="28"/>
                <w:szCs w:val="28"/>
              </w:rPr>
            </w:pPr>
            <w:r>
              <w:rPr>
                <w:rFonts w:hint="eastAsia" w:ascii="仿宋" w:hAnsi="仿宋" w:eastAsia="仿宋"/>
                <w:sz w:val="28"/>
                <w:szCs w:val="28"/>
              </w:rPr>
              <w:t>抄送：</w:t>
            </w:r>
            <w:r>
              <w:rPr>
                <w:rFonts w:hint="eastAsia" w:ascii="仿宋" w:hAnsi="仿宋" w:eastAsia="仿宋" w:cs="Times New Roman"/>
                <w:sz w:val="28"/>
                <w:szCs w:val="28"/>
              </w:rPr>
              <w:t>吉林市生态环境保护综合行政执法支队龙潭大队</w:t>
            </w:r>
          </w:p>
        </w:tc>
      </w:tr>
      <w:tr w14:paraId="600F5C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3959F85">
            <w:pPr>
              <w:ind w:left="1160" w:leftChars="100" w:hanging="840" w:hangingChars="3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吉林市生态环境局</w:t>
            </w:r>
            <w:r>
              <w:rPr>
                <w:rFonts w:hint="eastAsia" w:ascii="仿宋" w:hAnsi="仿宋" w:eastAsia="仿宋"/>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1F23576B">
            <w:pPr>
              <w:ind w:left="0" w:leftChars="0" w:right="0" w:rightChars="0" w:firstLine="1400" w:firstLineChars="500"/>
              <w:jc w:val="left"/>
              <w:rPr>
                <w:rFonts w:hint="eastAsia" w:ascii="仿宋" w:hAnsi="仿宋" w:eastAsia="仿宋"/>
                <w:sz w:val="28"/>
                <w:szCs w:val="28"/>
              </w:rPr>
            </w:pPr>
            <w:r>
              <w:rPr>
                <w:rFonts w:hint="eastAsia" w:ascii="仿宋" w:hAnsi="仿宋" w:eastAsia="仿宋"/>
                <w:sz w:val="28"/>
                <w:szCs w:val="28"/>
                <w:lang w:val="en-US" w:eastAsia="zh-CN"/>
              </w:rPr>
              <w:t>2025</w:t>
            </w:r>
            <w:r>
              <w:rPr>
                <w:rFonts w:hint="eastAsia" w:ascii="仿宋" w:hAnsi="仿宋" w:eastAsia="仿宋"/>
                <w:sz w:val="28"/>
                <w:szCs w:val="28"/>
              </w:rPr>
              <w:t>年</w:t>
            </w:r>
            <w:r>
              <w:rPr>
                <w:rFonts w:hint="eastAsia" w:ascii="仿宋" w:hAnsi="仿宋" w:eastAsia="仿宋"/>
                <w:sz w:val="28"/>
                <w:szCs w:val="28"/>
                <w:lang w:val="en-US" w:eastAsia="zh-CN"/>
              </w:rPr>
              <w:t>12</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日印发</w:t>
            </w:r>
          </w:p>
        </w:tc>
      </w:tr>
    </w:tbl>
    <w:p w14:paraId="1E0616B6">
      <w:pPr>
        <w:keepNext w:val="0"/>
        <w:keepLines w:val="0"/>
        <w:pageBreakBefore w:val="0"/>
        <w:widowControl w:val="0"/>
        <w:tabs>
          <w:tab w:val="left" w:pos="540"/>
        </w:tabs>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76A12">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F1EA8">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5F1EA8">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31924"/>
    <w:multiLevelType w:val="singleLevel"/>
    <w:tmpl w:val="01F31924"/>
    <w:lvl w:ilvl="0" w:tentative="0">
      <w:start w:val="1"/>
      <w:numFmt w:val="bullet"/>
      <w:pStyle w:val="7"/>
      <w:lvlText w:val=""/>
      <w:lvlJc w:val="left"/>
      <w:pPr>
        <w:tabs>
          <w:tab w:val="left" w:pos="2040"/>
        </w:tabs>
        <w:ind w:left="2040" w:hanging="360"/>
      </w:pPr>
      <w:rPr>
        <w:rFonts w:hint="default" w:ascii="Wingdings" w:hAnsi="Wingdings"/>
      </w:rPr>
    </w:lvl>
  </w:abstractNum>
  <w:abstractNum w:abstractNumId="1">
    <w:nsid w:val="73E381FC"/>
    <w:multiLevelType w:val="multilevel"/>
    <w:tmpl w:val="73E381FC"/>
    <w:lvl w:ilvl="0" w:tentative="0">
      <w:start w:val="1"/>
      <w:numFmt w:val="chineseCounting"/>
      <w:pStyle w:val="2"/>
      <w:suff w:val="nothing"/>
      <w:lvlText w:val="%1、"/>
      <w:lvlJc w:val="left"/>
      <w:pPr>
        <w:tabs>
          <w:tab w:val="left" w:pos="993"/>
        </w:tabs>
        <w:ind w:left="993" w:firstLine="0"/>
      </w:pPr>
      <w:rPr>
        <w:rFonts w:hint="eastAsia"/>
      </w:rPr>
    </w:lvl>
    <w:lvl w:ilvl="1" w:tentative="0">
      <w:start w:val="1"/>
      <w:numFmt w:val="chineseCounting"/>
      <w:pStyle w:val="3"/>
      <w:suff w:val="nothing"/>
      <w:lvlText w:val="（%2）"/>
      <w:lvlJc w:val="left"/>
      <w:pPr>
        <w:ind w:left="993" w:firstLine="0"/>
      </w:pPr>
      <w:rPr>
        <w:rFonts w:hint="eastAsia" w:ascii="仿宋" w:hAnsi="仿宋" w:eastAsia="仿宋" w:cs="宋体"/>
      </w:rPr>
    </w:lvl>
    <w:lvl w:ilvl="2" w:tentative="0">
      <w:start w:val="1"/>
      <w:numFmt w:val="decimal"/>
      <w:pStyle w:val="4"/>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abstractNum w:abstractNumId="2">
    <w:nsid w:val="76BE7AB5"/>
    <w:multiLevelType w:val="singleLevel"/>
    <w:tmpl w:val="76BE7AB5"/>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01E7DCD"/>
    <w:rsid w:val="002F6DE7"/>
    <w:rsid w:val="01215C29"/>
    <w:rsid w:val="0266438F"/>
    <w:rsid w:val="02E46937"/>
    <w:rsid w:val="030B6161"/>
    <w:rsid w:val="04842AA6"/>
    <w:rsid w:val="04A47321"/>
    <w:rsid w:val="07100621"/>
    <w:rsid w:val="07264286"/>
    <w:rsid w:val="07542310"/>
    <w:rsid w:val="07C631FE"/>
    <w:rsid w:val="07DC57B4"/>
    <w:rsid w:val="08607EC0"/>
    <w:rsid w:val="08623D99"/>
    <w:rsid w:val="08EA2658"/>
    <w:rsid w:val="09864BCA"/>
    <w:rsid w:val="099F20DD"/>
    <w:rsid w:val="09FC1740"/>
    <w:rsid w:val="0A094D1A"/>
    <w:rsid w:val="0B3C19E4"/>
    <w:rsid w:val="0C7236B3"/>
    <w:rsid w:val="0D832131"/>
    <w:rsid w:val="0DB06FB5"/>
    <w:rsid w:val="0E102B78"/>
    <w:rsid w:val="0F062414"/>
    <w:rsid w:val="0F4C6BFF"/>
    <w:rsid w:val="0F6B26ED"/>
    <w:rsid w:val="0F914A2F"/>
    <w:rsid w:val="0FE15608"/>
    <w:rsid w:val="116E69B0"/>
    <w:rsid w:val="121B3756"/>
    <w:rsid w:val="12270675"/>
    <w:rsid w:val="14311A36"/>
    <w:rsid w:val="14485080"/>
    <w:rsid w:val="144B0212"/>
    <w:rsid w:val="14F05B14"/>
    <w:rsid w:val="1529088D"/>
    <w:rsid w:val="15D37529"/>
    <w:rsid w:val="160B1746"/>
    <w:rsid w:val="17CC51BB"/>
    <w:rsid w:val="18381EC3"/>
    <w:rsid w:val="184419B1"/>
    <w:rsid w:val="18527E28"/>
    <w:rsid w:val="198D1E15"/>
    <w:rsid w:val="19D8137C"/>
    <w:rsid w:val="1A445BA3"/>
    <w:rsid w:val="1A50276F"/>
    <w:rsid w:val="1A9A1170"/>
    <w:rsid w:val="1A9F7130"/>
    <w:rsid w:val="1B1F3CE5"/>
    <w:rsid w:val="1B24250F"/>
    <w:rsid w:val="1B2B7C6F"/>
    <w:rsid w:val="1C681F7B"/>
    <w:rsid w:val="1CDD0E88"/>
    <w:rsid w:val="1D007D32"/>
    <w:rsid w:val="1D093E4D"/>
    <w:rsid w:val="1F196F14"/>
    <w:rsid w:val="1F30765A"/>
    <w:rsid w:val="1F560908"/>
    <w:rsid w:val="1FEB0348"/>
    <w:rsid w:val="20542ED4"/>
    <w:rsid w:val="2155673D"/>
    <w:rsid w:val="217B49B5"/>
    <w:rsid w:val="22261D0A"/>
    <w:rsid w:val="239E225F"/>
    <w:rsid w:val="24E862E1"/>
    <w:rsid w:val="25334FFC"/>
    <w:rsid w:val="25F702A5"/>
    <w:rsid w:val="26E60F2F"/>
    <w:rsid w:val="272F4E1D"/>
    <w:rsid w:val="2777171F"/>
    <w:rsid w:val="28374BF9"/>
    <w:rsid w:val="283F0D7D"/>
    <w:rsid w:val="28D72291"/>
    <w:rsid w:val="29E17ECF"/>
    <w:rsid w:val="29F17A79"/>
    <w:rsid w:val="2BEF7F49"/>
    <w:rsid w:val="2D0142DA"/>
    <w:rsid w:val="2E8A5DA3"/>
    <w:rsid w:val="2EE9084F"/>
    <w:rsid w:val="2EE94141"/>
    <w:rsid w:val="310F3168"/>
    <w:rsid w:val="31CC241B"/>
    <w:rsid w:val="31FF6ABD"/>
    <w:rsid w:val="33FE58C0"/>
    <w:rsid w:val="3474508D"/>
    <w:rsid w:val="355A7EE2"/>
    <w:rsid w:val="355D1578"/>
    <w:rsid w:val="355D1A20"/>
    <w:rsid w:val="35DA5DE6"/>
    <w:rsid w:val="380541CD"/>
    <w:rsid w:val="38A731BC"/>
    <w:rsid w:val="38AB0E58"/>
    <w:rsid w:val="3971572F"/>
    <w:rsid w:val="398E4E00"/>
    <w:rsid w:val="3A4A0CD0"/>
    <w:rsid w:val="3AF143FE"/>
    <w:rsid w:val="3B164258"/>
    <w:rsid w:val="3D8E4D06"/>
    <w:rsid w:val="3EC15C04"/>
    <w:rsid w:val="40F32706"/>
    <w:rsid w:val="40F33C83"/>
    <w:rsid w:val="44B65B7C"/>
    <w:rsid w:val="45076938"/>
    <w:rsid w:val="47107A2C"/>
    <w:rsid w:val="47352751"/>
    <w:rsid w:val="47B02837"/>
    <w:rsid w:val="48AD6AC5"/>
    <w:rsid w:val="49881965"/>
    <w:rsid w:val="4A413C1F"/>
    <w:rsid w:val="4A797DE0"/>
    <w:rsid w:val="4A9C14F9"/>
    <w:rsid w:val="4B701D22"/>
    <w:rsid w:val="4C6866A3"/>
    <w:rsid w:val="4EAB4939"/>
    <w:rsid w:val="510219E5"/>
    <w:rsid w:val="517D771D"/>
    <w:rsid w:val="51E676C4"/>
    <w:rsid w:val="535011CF"/>
    <w:rsid w:val="536B615E"/>
    <w:rsid w:val="551707AE"/>
    <w:rsid w:val="55641C22"/>
    <w:rsid w:val="55B57DA8"/>
    <w:rsid w:val="56353FD8"/>
    <w:rsid w:val="56EE7B37"/>
    <w:rsid w:val="57576CA1"/>
    <w:rsid w:val="57582925"/>
    <w:rsid w:val="58C24E44"/>
    <w:rsid w:val="5B570E5D"/>
    <w:rsid w:val="5CEA2E9E"/>
    <w:rsid w:val="5DE13458"/>
    <w:rsid w:val="61033D11"/>
    <w:rsid w:val="61B7275D"/>
    <w:rsid w:val="621A0BB0"/>
    <w:rsid w:val="62341F48"/>
    <w:rsid w:val="6242353D"/>
    <w:rsid w:val="63A11840"/>
    <w:rsid w:val="64B36EE9"/>
    <w:rsid w:val="65A63498"/>
    <w:rsid w:val="66095259"/>
    <w:rsid w:val="66732BA5"/>
    <w:rsid w:val="66910EB1"/>
    <w:rsid w:val="685B4774"/>
    <w:rsid w:val="6A1F439D"/>
    <w:rsid w:val="6A203C5D"/>
    <w:rsid w:val="6A524E2D"/>
    <w:rsid w:val="6A661DB2"/>
    <w:rsid w:val="6B5B0D2F"/>
    <w:rsid w:val="6C8A3532"/>
    <w:rsid w:val="6EFB604C"/>
    <w:rsid w:val="6F2B728F"/>
    <w:rsid w:val="70886160"/>
    <w:rsid w:val="71724535"/>
    <w:rsid w:val="71E3174B"/>
    <w:rsid w:val="72F75E47"/>
    <w:rsid w:val="73531200"/>
    <w:rsid w:val="735578DD"/>
    <w:rsid w:val="73F12BC9"/>
    <w:rsid w:val="74354C97"/>
    <w:rsid w:val="747A2767"/>
    <w:rsid w:val="74BA710A"/>
    <w:rsid w:val="74BF4D8C"/>
    <w:rsid w:val="75B54444"/>
    <w:rsid w:val="77A56AF8"/>
    <w:rsid w:val="77E77D4F"/>
    <w:rsid w:val="7841456F"/>
    <w:rsid w:val="78853563"/>
    <w:rsid w:val="7A916D31"/>
    <w:rsid w:val="7B1B4558"/>
    <w:rsid w:val="7C1B42AF"/>
    <w:rsid w:val="7C9F0813"/>
    <w:rsid w:val="7D1363DA"/>
    <w:rsid w:val="7D845316"/>
    <w:rsid w:val="7EE40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link w:val="25"/>
    <w:autoRedefine/>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3">
    <w:name w:val="heading 2"/>
    <w:basedOn w:val="1"/>
    <w:next w:val="1"/>
    <w:link w:val="24"/>
    <w:autoRedefine/>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4">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semiHidden/>
    <w:qFormat/>
    <w:uiPriority w:val="0"/>
    <w:pPr>
      <w:jc w:val="left"/>
    </w:pPr>
    <w:rPr>
      <w:kern w:val="0"/>
      <w:sz w:val="24"/>
      <w:szCs w:val="20"/>
    </w:rPr>
  </w:style>
  <w:style w:type="paragraph" w:styleId="6">
    <w:name w:val="Body Text"/>
    <w:basedOn w:val="1"/>
    <w:next w:val="7"/>
    <w:autoRedefine/>
    <w:qFormat/>
    <w:uiPriority w:val="0"/>
    <w:rPr>
      <w:sz w:val="28"/>
    </w:rPr>
  </w:style>
  <w:style w:type="paragraph" w:styleId="7">
    <w:name w:val="List Bullet 5"/>
    <w:basedOn w:val="1"/>
    <w:autoRedefine/>
    <w:qFormat/>
    <w:uiPriority w:val="0"/>
    <w:pPr>
      <w:numPr>
        <w:ilvl w:val="0"/>
        <w:numId w:val="2"/>
      </w:numPr>
    </w:pPr>
  </w:style>
  <w:style w:type="paragraph" w:styleId="8">
    <w:name w:val="Body Text Indent"/>
    <w:basedOn w:val="1"/>
    <w:next w:val="9"/>
    <w:qFormat/>
    <w:uiPriority w:val="0"/>
    <w:pPr>
      <w:spacing w:after="120"/>
      <w:ind w:left="420" w:leftChars="200"/>
    </w:pPr>
  </w:style>
  <w:style w:type="paragraph" w:customStyle="1" w:styleId="9">
    <w:name w:val="样式 正文文本缩进 + 行距: 1.5 倍行距"/>
    <w:basedOn w:val="8"/>
    <w:qFormat/>
    <w:uiPriority w:val="0"/>
    <w:pPr>
      <w:spacing w:after="120"/>
      <w:ind w:left="90" w:leftChars="32" w:firstLine="560" w:firstLineChars="200"/>
    </w:pPr>
    <w:rPr>
      <w:rFonts w:cs="宋体"/>
    </w:rPr>
  </w:style>
  <w:style w:type="paragraph" w:styleId="10">
    <w:name w:val="Plain Text"/>
    <w:basedOn w:val="1"/>
    <w:next w:val="1"/>
    <w:autoRedefine/>
    <w:qFormat/>
    <w:uiPriority w:val="0"/>
    <w:rPr>
      <w:rFonts w:ascii="宋体" w:hAnsi="Courier New"/>
    </w:rPr>
  </w:style>
  <w:style w:type="paragraph" w:styleId="11">
    <w:name w:val="Date"/>
    <w:basedOn w:val="1"/>
    <w:next w:val="1"/>
    <w:autoRedefine/>
    <w:qFormat/>
    <w:uiPriority w:val="0"/>
    <w:pPr>
      <w:ind w:leftChars="2500"/>
    </w:pPr>
    <w:rPr>
      <w:rFonts w:eastAsia="仿宋_GB2312"/>
      <w:sz w:val="3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qFormat/>
    <w:uiPriority w:val="0"/>
  </w:style>
  <w:style w:type="paragraph" w:styleId="15">
    <w:name w:val="footnote text"/>
    <w:basedOn w:val="1"/>
    <w:autoRedefine/>
    <w:qFormat/>
    <w:uiPriority w:val="0"/>
    <w:pPr>
      <w:snapToGrid w:val="0"/>
      <w:jc w:val="left"/>
    </w:pPr>
    <w:rPr>
      <w:sz w:val="18"/>
    </w:rPr>
  </w:style>
  <w:style w:type="paragraph" w:styleId="16">
    <w:name w:val="toc 2"/>
    <w:basedOn w:val="1"/>
    <w:next w:val="1"/>
    <w:autoRedefine/>
    <w:qFormat/>
    <w:uiPriority w:val="0"/>
    <w:pPr>
      <w:ind w:left="420" w:leftChars="200"/>
    </w:pPr>
  </w:style>
  <w:style w:type="paragraph" w:styleId="17">
    <w:name w:val="Body Text First Indent 2"/>
    <w:basedOn w:val="8"/>
    <w:next w:val="1"/>
    <w:qFormat/>
    <w:uiPriority w:val="0"/>
    <w:pPr>
      <w:spacing w:after="120" w:afterLines="0"/>
      <w:ind w:left="420" w:leftChars="200" w:firstLine="420" w:firstLineChars="200"/>
    </w:pPr>
    <w:rPr>
      <w:rFonts w:ascii="Times New Roman" w:hAnsi="Times New Roman"/>
    </w:rPr>
  </w:style>
  <w:style w:type="table" w:styleId="19">
    <w:name w:val="Table Grid"/>
    <w:basedOn w:val="18"/>
    <w:autoRedefine/>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paragraph" w:customStyle="1" w:styleId="21">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2">
    <w:name w:val="Default"/>
    <w:basedOn w:val="23"/>
    <w:next w:val="1"/>
    <w:autoRedefine/>
    <w:qFormat/>
    <w:uiPriority w:val="0"/>
    <w:pPr>
      <w:autoSpaceDE w:val="0"/>
      <w:autoSpaceDN w:val="0"/>
      <w:jc w:val="left"/>
    </w:pPr>
    <w:rPr>
      <w:rFonts w:hint="eastAsia" w:ascii="宋体" w:eastAsia="宋体" w:cs="Times New Roman"/>
      <w:color w:val="000000"/>
      <w:kern w:val="0"/>
      <w:sz w:val="24"/>
    </w:rPr>
  </w:style>
  <w:style w:type="paragraph" w:customStyle="1" w:styleId="23">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24">
    <w:name w:val="标题 2 Char"/>
    <w:link w:val="3"/>
    <w:autoRedefine/>
    <w:qFormat/>
    <w:locked/>
    <w:uiPriority w:val="99"/>
    <w:rPr>
      <w:rFonts w:ascii="Arial" w:hAnsi="Arial" w:eastAsia="宋体" w:cs="Times New Roman"/>
      <w:b/>
      <w:bCs/>
      <w:sz w:val="28"/>
      <w:szCs w:val="32"/>
    </w:rPr>
  </w:style>
  <w:style w:type="character" w:customStyle="1" w:styleId="25">
    <w:name w:val="标题 1 Char"/>
    <w:link w:val="2"/>
    <w:autoRedefine/>
    <w:qFormat/>
    <w:locked/>
    <w:uiPriority w:val="99"/>
    <w:rPr>
      <w:rFonts w:ascii="Calibri" w:hAnsi="Calibri" w:eastAsia="宋体"/>
      <w:b/>
      <w:kern w:val="44"/>
      <w:sz w:val="44"/>
      <w:szCs w:val="24"/>
      <w:lang w:bidi="ar-SA"/>
    </w:rPr>
  </w:style>
  <w:style w:type="paragraph" w:customStyle="1" w:styleId="26">
    <w:name w:val="环保表内字（小五）"/>
    <w:basedOn w:val="1"/>
    <w:autoRedefine/>
    <w:qFormat/>
    <w:uiPriority w:val="0"/>
    <w:pPr>
      <w:adjustRightInd w:val="0"/>
      <w:snapToGrid w:val="0"/>
      <w:jc w:val="center"/>
    </w:pPr>
    <w:rPr>
      <w:rFonts w:ascii="宋体" w:hAnsi="宋体"/>
      <w:snapToGrid w:val="0"/>
      <w:sz w:val="18"/>
      <w:szCs w:val="20"/>
    </w:rPr>
  </w:style>
  <w:style w:type="paragraph" w:customStyle="1" w:styleId="27">
    <w:name w:val="正文文本1"/>
    <w:basedOn w:val="1"/>
    <w:autoRedefine/>
    <w:qFormat/>
    <w:uiPriority w:val="0"/>
    <w:pPr>
      <w:spacing w:line="500" w:lineRule="exact"/>
    </w:pPr>
    <w:rPr>
      <w:rFonts w:ascii="宋体" w:hAnsi="宋体"/>
      <w:sz w:val="28"/>
    </w:rPr>
  </w:style>
  <w:style w:type="paragraph" w:customStyle="1" w:styleId="28">
    <w:name w:val="环保-正文内容"/>
    <w:basedOn w:val="1"/>
    <w:next w:val="1"/>
    <w:autoRedefine/>
    <w:qFormat/>
    <w:uiPriority w:val="0"/>
    <w:pPr>
      <w:adjustRightInd w:val="0"/>
      <w:snapToGrid w:val="0"/>
      <w:spacing w:line="360" w:lineRule="auto"/>
      <w:ind w:firstLine="200" w:firstLineChars="200"/>
      <w:jc w:val="both"/>
    </w:pPr>
    <w:rPr>
      <w:rFonts w:cs="宋体"/>
      <w:sz w:val="24"/>
    </w:rPr>
  </w:style>
  <w:style w:type="paragraph" w:customStyle="1" w:styleId="29">
    <w:name w:val="正文小四缩进"/>
    <w:basedOn w:val="1"/>
    <w:qFormat/>
    <w:uiPriority w:val="0"/>
    <w:pPr>
      <w:widowControl w:val="0"/>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72f47062-08c9-4d8c-95be-d182950d8cf3</errorID>
      <errorWord>依据</errorWord>
      <group>L1_AI</group>
      <groupName>深度校对</groupName>
      <ability>L2_AI_Word</ability>
      <abilityName>字词纠错</abilityName>
      <candidateList>
        <item>的依据</item>
      </candidateList>
      <explain/>
      <paraID>4399D072</paraID>
      <start>443</start>
      <end>445</end>
      <status>unmodified</status>
      <modifiedWord/>
      <trackRevisions>false</trackRevisions>
    </reviewItem>
    <reviewItem>
      <errorID>a19711fa-5df2-4ac1-b173-971729795994</errorID>
      <errorWord>定期</errorWord>
      <group>L1_AI</group>
      <groupName>深度校对</groupName>
      <ability>L2_AI_Punc</ability>
      <abilityName>标点纠错</abilityName>
      <candidateList>
        <item>，定期</item>
      </candidateList>
      <explain/>
      <paraID> BDB4F9E</paraID>
      <start>25</start>
      <end>28</end>
      <status>modified</status>
      <modifiedWord>，定期</modifiedWord>
      <trackRevisions>false</trackRevisions>
    </reviewItem>
    <reviewItem>
      <errorID>5d4a11bd-e9e5-44d7-b1e7-ba1f04078ce1</errorID>
      <errorWord>期</errorWord>
      <group>L1_Word</group>
      <groupName>字词问题</groupName>
      <ability>L2_Typo</ability>
      <abilityName>字词错误</abilityName>
      <candidateList>
        <item>期间</item>
      </candidateList>
      <explain>〈名〉某个时期里面：农忙～｜春节～｜抗战～。</explain>
      <paraID> BDB4F9E</paraID>
      <start>183</start>
      <end>184</end>
      <status>unmodified</status>
      <modifiedWord/>
      <trackRevisions>false</trackRevisions>
    </reviewItem>
    <reviewItem>
      <errorID>d157d450-a143-4d53-b74b-581b9f590b26</errorID>
      <errorWord>作</errorWord>
      <group>L1_AI</group>
      <groupName>深度校对</groupName>
      <ability>L2_AI_Word</ability>
      <abilityName>字词纠错</abilityName>
      <candidateList>
        <item>用作</item>
      </candidateList>
      <explain/>
      <paraID>7B55957C</paraID>
      <start>23</start>
      <end>25</end>
      <status>modified</status>
      <modifiedWord>用作</modifiedWord>
      <trackRevisions>false</trackRevisions>
    </reviewItem>
    <reviewItem>
      <errorID>2bb490e2-bc8e-4330-88e2-e71a24250305</errorID>
      <errorWord>限值中</errorWord>
      <group>L1_AI</group>
      <groupName>深度校对</groupName>
      <ability>L2_AI_Word</ability>
      <abilityName>字词纠错</abilityName>
      <candidateList>
        <item>限值</item>
      </candidateList>
      <explain/>
      <paraID> 615CCDF</paraID>
      <start>116</start>
      <end>118</end>
      <status>modified</status>
      <modifiedWord>限值</modifiedWord>
      <trackRevisions>false</trackRevisions>
    </reviewItem>
    <reviewItem>
      <errorID>0aba6a0d-156e-497a-8cbc-194d3f6c4861</errorID>
      <errorWord>标准要求</errorWord>
      <group>L1_AI</group>
      <groupName>深度校对</groupName>
      <ability>L2_AI_Grammar</ability>
      <abilityName>语法纠错</abilityName>
      <candidateList>
        <item>标准</item>
      </candidateList>
      <explain>❶〈名〉衡量事物的准则：技术～｜实践是检验真理的唯一～。❷〈形〉本身合于准则，可供同类事物比较核对的：～音｜～时｜她的发音很～。</explain>
      <paraID> 615CCDF</paraID>
      <start>122</start>
      <end>124</end>
      <status>modified</status>
      <modifiedWord>标准</modifiedWord>
      <trackRevisions>false</trackRevisions>
    </reviewItem>
    <reviewItem>
      <errorID>7b478d4c-3e57-48cb-8ee7-b19817c453bb</errorID>
      <errorWord>1中</errorWord>
      <group>L1_AI</group>
      <groupName>深度校对</groupName>
      <ability>L2_AI_Word</ability>
      <abilityName>字词纠错</abilityName>
      <candidateList>
        <item>1</item>
      </candidateList>
      <explain/>
      <paraID> 615CCDF</paraID>
      <start>172</start>
      <end>174</end>
      <status>unmodified</status>
      <modifiedWord/>
      <trackRevisions>false</trackRevisions>
    </reviewItem>
    <reviewItem>
      <errorID>3a3fbbff-bde4-4656-ba30-eedd4ea69ab4</errorID>
      <errorWord>）中</errorWord>
      <group>L1_AI</group>
      <groupName>深度校对</groupName>
      <ability>L2_AI_Word</ability>
      <abilityName>字词纠错</abilityName>
      <candidateList>
        <item>）</item>
      </candidateList>
      <explain/>
      <paraID>3852204B</paraID>
      <start>66</start>
      <end>67</end>
      <status>modified</status>
      <modifiedWord>）</modifiedWord>
      <trackRevisions>false</trackRevisions>
    </reviewItem>
    <reviewItem>
      <errorID>6f021d3c-fc64-4448-becf-a58b15f20e7f</errorID>
      <errorWord>；</errorWord>
      <group>L1_AI</group>
      <groupName>深度校对</groupName>
      <ability>L2_AI_Punc</ability>
      <abilityName>标点纠错</abilityName>
      <candidateList>
        <item>，</item>
      </candidateList>
      <explain/>
      <paraID>1F64279E</paraID>
      <start>226</start>
      <end>227</end>
      <status>modified</status>
      <modifiedWord>，</modifiedWord>
      <trackRevisions>false</trackRevisions>
    </reviewItem>
    <reviewItem>
      <errorID>aac81533-45b3-437c-aece-641c839c8cb3</errorID>
      <errorWord>污水厂</errorWord>
      <group>L1_Word</group>
      <groupName>字词问题</groupName>
      <ability>L2_Typo</ability>
      <abilityName>字词错误</abilityName>
      <candidateList>
        <item>污水处理厂</item>
      </candidateList>
      <explain/>
      <paraID>1F19D397</paraID>
      <start>104</start>
      <end>109</end>
      <status>modified</status>
      <modifiedWord>污水处理厂</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34088a-dec9-46f7-903c-b20e6687166e}">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2268</Words>
  <Characters>2434</Characters>
  <Lines>0</Lines>
  <Paragraphs>0</Paragraphs>
  <TotalTime>66</TotalTime>
  <ScaleCrop>false</ScaleCrop>
  <LinksUpToDate>false</LinksUpToDate>
  <CharactersWithSpaces>2447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2025-12-19T01:50:20Z</cp:lastPrinted>
  <dcterms:modified xsi:type="dcterms:W3CDTF">2025-12-19T02:09:40Z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7F77CB55856448BCB3775EC952330F0D_13</vt:lpwstr>
  </property>
  <property fmtid="{D5CDD505-2E9C-101B-9397-08002B2CF9AE}" pid="4" name="KSOTemplateDocerSaveRecord">
    <vt:lpwstr>eyJoZGlkIjoiMDc5MzViOWI5ODMxNmU1MjFmZjY5NjVlZTE5M2Q2YjUiLCJ1c2VySWQiOiIzNDEzNjc4NTYifQ==</vt:lpwstr>
  </property>
</Properties>
</file>