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404E5">
      <w:pPr>
        <w:rPr>
          <w:rFonts w:hint="eastAsia" w:eastAsia="仿宋_GB2312"/>
          <w:sz w:val="32"/>
          <w:lang w:eastAsia="zh-CN"/>
        </w:rPr>
      </w:pPr>
    </w:p>
    <w:p w14:paraId="7D1CF47B">
      <w:pPr>
        <w:bidi w:val="0"/>
        <w:rPr>
          <w:rFonts w:hint="eastAsia" w:ascii="仿宋_GB2312" w:hAnsi="仿宋_GB2312" w:eastAsia="仿宋_GB2312" w:cs="Times New Roman"/>
          <w:kern w:val="2"/>
          <w:sz w:val="32"/>
          <w:szCs w:val="32"/>
          <w:lang w:val="en-US" w:eastAsia="zh-CN" w:bidi="ar-SA"/>
        </w:rPr>
      </w:pPr>
    </w:p>
    <w:p w14:paraId="50FAD7EE">
      <w:pPr>
        <w:bidi w:val="0"/>
        <w:rPr>
          <w:rFonts w:hint="eastAsia"/>
          <w:lang w:val="en-US" w:eastAsia="zh-CN"/>
        </w:rPr>
      </w:pPr>
    </w:p>
    <w:p w14:paraId="31B16F0C">
      <w:pPr>
        <w:bidi w:val="0"/>
        <w:rPr>
          <w:rFonts w:hint="eastAsia"/>
          <w:lang w:val="en-US" w:eastAsia="zh-CN"/>
        </w:rPr>
      </w:pPr>
    </w:p>
    <w:p w14:paraId="1FFC187C">
      <w:pPr>
        <w:bidi w:val="0"/>
        <w:rPr>
          <w:rFonts w:hint="eastAsia"/>
          <w:lang w:val="en-US" w:eastAsia="zh-CN"/>
        </w:rPr>
      </w:pPr>
    </w:p>
    <w:p w14:paraId="59A4067D">
      <w:pPr>
        <w:bidi w:val="0"/>
        <w:rPr>
          <w:rFonts w:hint="eastAsia"/>
          <w:lang w:val="en-US" w:eastAsia="zh-CN"/>
        </w:rPr>
      </w:pPr>
    </w:p>
    <w:p w14:paraId="069DF23D">
      <w:pPr>
        <w:bidi w:val="0"/>
        <w:rPr>
          <w:rFonts w:hint="eastAsia"/>
          <w:lang w:val="en-US" w:eastAsia="zh-CN"/>
        </w:rPr>
      </w:pPr>
    </w:p>
    <w:p w14:paraId="44399460"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2402A13D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吉市（龙）环建（表）字〔20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〕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号</w:t>
      </w:r>
    </w:p>
    <w:p w14:paraId="3F48B568">
      <w:pPr>
        <w:bidi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277EA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val="en-US" w:eastAsia="zh-CN"/>
        </w:rPr>
        <w:t xml:space="preserve">吉林省吉林市龙潭区2022年度至2024年度乡镇燃煤小锅炉改集中生物质锅炉项目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环境影响报告表的批复</w:t>
      </w:r>
    </w:p>
    <w:p w14:paraId="3F82A4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吉林市龙潭区住房和城乡建设局：</w:t>
      </w:r>
    </w:p>
    <w:p w14:paraId="5027B25E">
      <w:pPr>
        <w:pStyle w:val="2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你单位《关于对〈吉林省吉林市龙潭区2022年度至2024年度乡镇燃煤小锅炉改集中生物质锅炉项目环境影响报告表〉审查的申请》和委托吉林市岚璟环保科技有限公司编制的《吉林省吉林市龙潭区2022年度至2024年度乡镇燃煤小锅炉改集中生物质锅炉项目环境影响报告表》（报批版）收悉。经研究，现批复如下：　</w:t>
      </w:r>
    </w:p>
    <w:p w14:paraId="0B0D868B">
      <w:pPr>
        <w:pStyle w:val="2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一、本项目中</w:t>
      </w:r>
      <w:r>
        <w:rPr>
          <w:rFonts w:hint="default" w:cs="仿宋_GB2312"/>
          <w:color w:val="auto"/>
          <w:kern w:val="2"/>
          <w:sz w:val="32"/>
          <w:szCs w:val="32"/>
          <w:lang w:val="en-US" w:eastAsia="zh-CN" w:bidi="ar-SA"/>
        </w:rPr>
        <w:t>缸窑镇翌博锅炉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取得环评批复，批复文号为</w:t>
      </w:r>
      <w:r>
        <w:rPr>
          <w:rFonts w:hint="default" w:cs="仿宋_GB2312"/>
          <w:color w:val="auto"/>
          <w:kern w:val="2"/>
          <w:sz w:val="32"/>
          <w:szCs w:val="32"/>
          <w:lang w:val="en-US" w:eastAsia="zh-CN" w:bidi="ar-SA"/>
        </w:rPr>
        <w:t>吉市环建（表）字〔2016〕7号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；</w:t>
      </w:r>
      <w:r>
        <w:rPr>
          <w:rFonts w:hint="default" w:cs="仿宋_GB2312"/>
          <w:color w:val="auto"/>
          <w:kern w:val="2"/>
          <w:sz w:val="32"/>
          <w:szCs w:val="32"/>
          <w:lang w:val="en-US" w:eastAsia="zh-CN" w:bidi="ar-SA"/>
        </w:rPr>
        <w:t>大口钦镇茗展物业锅炉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取得环评批复，批复文号为</w:t>
      </w:r>
      <w:r>
        <w:rPr>
          <w:rFonts w:hint="default" w:cs="仿宋_GB2312"/>
          <w:color w:val="auto"/>
          <w:kern w:val="2"/>
          <w:sz w:val="32"/>
          <w:szCs w:val="32"/>
          <w:lang w:val="en-US" w:eastAsia="zh-CN" w:bidi="ar-SA"/>
        </w:rPr>
        <w:t>吉市环建（表）字〔2015〕81号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" w:cs="Times New Roman"/>
          <w:bCs/>
          <w:kern w:val="0"/>
          <w:sz w:val="32"/>
          <w:szCs w:val="32"/>
          <w:lang w:val="en-US" w:eastAsia="zh-CN" w:bidi="ar-SA"/>
        </w:rPr>
        <w:t>江密峰镇二号锅炉、江密峰镇天瑞家园锅炉、大口钦镇小镇人家锅炉、大口钦镇福满园锅炉、乌拉街镇自供政府楼</w:t>
      </w:r>
      <w:r>
        <w:rPr>
          <w:rFonts w:hint="eastAsia" w:eastAsia="仿宋" w:cs="Times New Roman"/>
          <w:bCs/>
          <w:kern w:val="0"/>
          <w:sz w:val="32"/>
          <w:szCs w:val="32"/>
          <w:lang w:val="en-US" w:eastAsia="zh-CN" w:bidi="ar-SA"/>
        </w:rPr>
        <w:t>及</w:t>
      </w:r>
      <w:r>
        <w:rPr>
          <w:rFonts w:hint="eastAsia" w:ascii="Times New Roman" w:hAnsi="Times New Roman" w:eastAsia="仿宋" w:cs="Times New Roman"/>
          <w:bCs/>
          <w:kern w:val="0"/>
          <w:sz w:val="32"/>
          <w:szCs w:val="32"/>
          <w:lang w:val="en-US" w:eastAsia="zh-CN" w:bidi="ar-SA"/>
        </w:rPr>
        <w:t>税务楼锅炉、乌拉街镇自供供销南楼锅炉、乌拉街镇自供小康楼锅炉、乌拉街镇中心小学锅炉因建设时间较早，均未办理环保手续。</w:t>
      </w:r>
      <w:r>
        <w:rPr>
          <w:rFonts w:hint="eastAsia" w:eastAsia="仿宋" w:cs="Times New Roman"/>
          <w:bCs/>
          <w:kern w:val="0"/>
          <w:sz w:val="32"/>
          <w:szCs w:val="32"/>
          <w:lang w:val="en-US" w:eastAsia="zh-CN" w:bidi="ar-SA"/>
        </w:rPr>
        <w:t>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吉林市龙潭区住房和城乡建设局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>已将以上10台锅炉列为民生保障工程，合并工程资金申报及环评文件报批，后需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积极开展排污许可申请和竣工环保验收工作，完善建设项目环保手续。</w:t>
      </w:r>
      <w:bookmarkStart w:id="0" w:name="_GoBack"/>
      <w:bookmarkEnd w:id="0"/>
    </w:p>
    <w:p w14:paraId="0AE71A3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建设地点：（1）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缸窑镇翌博锅炉房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吉林市龙潭区缸窑镇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越川路南侧、清辅路西侧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。（2）江密峰镇二号锅炉房。吉林市龙潭区江密峰镇。（3）江密峰镇天瑞家园锅炉房。吉林市龙潭区江密峰镇，天瑞家园小区东侧。（4）大口钦镇茗展物业锅炉房。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吉林市龙潭区大口钦镇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。（5）大口钦镇小镇人家锅炉房。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吉林市龙潭区大口钦镇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。（6）大口钦镇福满园锅炉房。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吉林市龙潭区大口钦镇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。（7）乌拉街镇自供政府楼、税务楼锅炉房。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吉林市龙潭区乌拉街镇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。（8）乌拉街镇自供供销南楼锅炉房。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吉林市龙潭区乌拉街镇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。（9）乌拉街镇自供小康楼锅炉房。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吉林市龙潭区乌拉街镇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。（10）乌拉街镇中心小学锅炉房。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吉林市龙潭区乌拉街镇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21F12D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建设内容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缸窑镇翌博锅炉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将现状锅炉房内2台14MW燃煤锅炉中的1台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拆除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排气筒及其燃煤锅炉配套设施拆除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，新建1台型号SZL14-1.0/115/70-SCIII的14MW生物质锅炉，一套6m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一根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60m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排气筒等各类配套辅助设施。本次未改造的剩余一台14MW燃煤锅炉停止使用列入后续改造计划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锅炉房外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设100m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封闭式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baseli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50m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封闭灰渣库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（2）江密峰镇二号锅炉：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将现状锅炉房及锅炉房内1台2.8MW燃煤锅炉及配套设施拆除，在原址新建1座建筑面积231.66m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锅炉房，锅炉房内新建1台型号DZL2.8-1.0/95/70-SCIII的2.8MW生物质锅炉，一套2m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30m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（3）江密峰镇天瑞家园锅炉：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将现状锅炉房及锅炉房内1台2.8MW燃煤锅炉及配套设施拆除，在原址新建1座建筑面积231.66m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锅炉房，锅炉房内新建1台型号DZL2.8-1.0/95/70-SCIII的2.8MW生物质锅炉，一套2m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（4）大口钦镇茗展物业锅炉：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将现状锅炉房内2台7MW燃煤锅炉中的1台及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燃煤锅炉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配套设施拆除，新建1台型号SZL7-1.0/95/70-SCIII的7MW生物质锅炉，一套4m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/h全自动软化水处理设备等配套设施。本次未改造的剩余一台7MW燃煤锅炉停止使用列入后续改造计划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锅炉房外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设100m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封闭式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baseli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50m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封闭灰渣库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（5）大口钦镇小镇人家锅炉房。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将现状锅炉房内1台2.8MW和1台1.4MW燃煤锅炉及配套设施拆除，锅炉房内新建1台型号DZL2.8-1.0/95/70-SCIII的2.8MW生物质锅炉，一套2m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锅炉房内设15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（6）大口钦镇福满园锅炉：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将现状福满园锅炉房内1台1.4MW燃煤锅炉及配套设施拆除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将镇政府锅炉房及锅炉房内1台0.7MW燃煤锅炉及配套设施拆除，在福满园锅炉房内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合并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新建1台型号DZL2.8-1.0/95/70-SCIII的2.8MW生物质锅炉，一套2m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锅炉房内设15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（7）乌拉街镇自供政府楼、税务楼锅炉：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将现状锅炉房内1台1.4MW燃煤锅炉及配套设施拆除，在原址新建1座建筑面积200m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锅炉房，锅炉房内新建1台型DZL1.75-0.7/95/70-SCIII的1.75MW生物质锅炉，一套1m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锅炉房内设10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（8）乌拉街镇自供供销南楼锅炉：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将现状锅炉房及锅炉房内1台1.4MW燃煤锅炉及配套设施拆除，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原址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新建1座建筑面积231.66m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锅炉房，锅炉房内新建1台型号DZL1.75-0.7/95/70-SCIII的1.75MW生物质锅炉，一套1m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锅炉房内设10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（9）乌拉街镇自供小康楼锅炉：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将现状锅炉房及锅炉房内1台1.4MW燃煤锅炉及配套设施拆除，在原址新建1座建筑面积231.66m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锅炉房，锅炉房内新建1台型号DZL1.75-0.7/95/70-SCIII的1.75MW生物质锅炉，一套1m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锅炉房内设10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（10）乌拉街镇中心小学锅炉：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将现状锅炉房及锅炉房内1台2.8MW燃煤锅炉及配套设施拆除，在原址新建1座建筑面积231.66m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锅炉房，锅炉房内新建1台型号DZL2.8-1.0/95/70-SCIII的2.8MW生物质锅炉，一套2m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/h全自动软化水处理设备等配套设施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锅炉房内设20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燃料储存区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10m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灰渣储存区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环保工程配套建设，公用工程依托现有。</w:t>
      </w:r>
      <w:r>
        <w:rPr>
          <w:rFonts w:hint="eastAsia" w:cs="仿宋_GB2312"/>
          <w:sz w:val="32"/>
          <w:szCs w:val="32"/>
          <w:u w:val="none"/>
          <w:lang w:val="en-US" w:eastAsia="zh-CN"/>
        </w:rPr>
        <w:t>本项目不新增占地，依托现有劳动定员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cs="仿宋_GB2312"/>
          <w:sz w:val="32"/>
          <w:szCs w:val="32"/>
          <w:u w:val="none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锅炉年运行172</w:t>
      </w:r>
      <w:r>
        <w:rPr>
          <w:rFonts w:hint="eastAsia" w:cs="仿宋_GB2312"/>
          <w:sz w:val="32"/>
          <w:szCs w:val="32"/>
          <w:u w:val="none"/>
          <w:lang w:val="en-US" w:eastAsia="zh-CN"/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181天</w:t>
      </w:r>
      <w:r>
        <w:rPr>
          <w:rFonts w:hint="eastAsia" w:cs="仿宋_GB2312"/>
          <w:sz w:val="32"/>
          <w:szCs w:val="32"/>
          <w:u w:val="none"/>
          <w:lang w:val="en-US" w:eastAsia="zh-CN"/>
        </w:rPr>
        <w:t>，日运行5～8小时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总投资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1951.19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万元，其中环保投资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根据环境影响报告表评价结论和技术评估意见，严格落实环境影响报告表提出的各项环境保护和环境风险防控措施。我局原则同意建设单位按照环评报告及下述要求进行项目建设。该项目环境影响报告表（报批版）可以作为环保设计及其建成后环境管理依据。</w:t>
      </w:r>
    </w:p>
    <w:p w14:paraId="75804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二、项目建设应重点做好以下工作：</w:t>
      </w:r>
    </w:p>
    <w:p w14:paraId="1EF78CC1">
      <w:pPr>
        <w:pStyle w:val="2"/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加强建设期环境管理。施工期对作业场所及进出道路洒水抑尘，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设施工围挡及临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时仓库，建筑材料采取防尘措施，生活污水排放依托城镇内公共卫生设施。生活垃圾、废弃包装物定点收集存放统一由环卫部门处置；建筑垃圾及时清运至指定堆放点；拆除的设施设备，统一堆放到指定地点，将无法利用的进行出售或联系原设施厂家回收处理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拆除、焊接及切割粉尘袋装收集后委托环卫部门处置。拆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除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作业时严禁向下抛掷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，设置隔离区域，确保行人安全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。选用低噪声施工设备，采取有效的隔声减振措施，禁止夜间施工，控制施工期噪声符合《建筑施工场界环境噪声排放标准》（GB12523-2011）要求，将项目建设对外界环境影响降至最低。</w:t>
      </w:r>
    </w:p>
    <w:p w14:paraId="3D1F051C">
      <w:pPr>
        <w:pStyle w:val="2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本项目生活污水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排放依托城镇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内公共卫生设施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；生产废水主要用于锅炉浇渣，剩余废水冬季暂存于锅炉房吨桶内，夏季用于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厂区降尘及绿化用水。</w:t>
      </w:r>
    </w:p>
    <w:p w14:paraId="17A6E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3.本项目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燃料及灰渣贮存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于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封闭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库房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，采取湿法排渣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，运输车辆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采取防尘防遗撒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措施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，燃料装卸及投料在封闭库房内进行。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锅炉均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燃用生物质成型燃料，采用低氮燃烧技术，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锅炉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烟气经陶瓷多管除尘器+布袋除尘器处理后，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通过排气筒排放，其中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缸窑镇翌博锅炉房通过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6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0m高烟囱排放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大口钦镇茗展物业锅炉房通过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0m高烟囱排放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江密峰镇二号锅炉房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江密峰镇天瑞家园锅炉房、大口钦镇小镇人家锅炉房、大口钦镇福满园锅炉房、乌拉街镇中心小学锅炉房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35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m高烟囱排放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乌拉街镇自供政府楼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税务楼锅炉房、乌拉街镇自供供销南楼锅炉房、乌拉街镇自供小康楼锅炉房通过30m高烟囱排放。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加强管理，确保</w:t>
      </w:r>
      <w:r>
        <w:rPr>
          <w:rFonts w:hint="eastAsia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炉烟气中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highlight w:val="none"/>
          <w:lang w:val="en-US" w:eastAsia="zh-CN"/>
        </w:rPr>
        <w:t>颗粒物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、SO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vertAlign w:val="subscript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、NO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vertAlign w:val="subscript"/>
          <w:lang w:val="en-US" w:eastAsia="zh-CN"/>
        </w:rPr>
        <w:t>X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排放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执行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《锅炉大气污染物排放标准》（GB 13271-2014）中表2新建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燃煤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锅炉大气污染物排放浓度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限值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；厂界无组织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废气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排放执行《大气污染物综合排放标准》（GB16297-1996）表2无组织排放监控浓度限值。                                   </w:t>
      </w:r>
    </w:p>
    <w:p w14:paraId="4719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合理布置生产设备，优先选购低噪声设备，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采取消声、隔声、减</w:t>
      </w:r>
      <w:r>
        <w:rPr>
          <w:rFonts w:hint="eastAsia" w:cs="仿宋_GB2312"/>
          <w:color w:val="auto"/>
          <w:sz w:val="32"/>
          <w:szCs w:val="32"/>
          <w:highlight w:val="none"/>
          <w:lang w:val="en-US" w:eastAsia="zh-CN"/>
        </w:rPr>
        <w:t>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措施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，运输车辆经过声环境敏感点时，低速平稳行驶并禁止鸣笛，确保厂界噪声符合《工业企业厂界环境噪声排放标准》（GB12348-2008）中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类声环境功能区限值。</w:t>
      </w:r>
    </w:p>
    <w:p w14:paraId="46F39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严格按照有关规定，对固体废物实施分类处理、处置，做到“减量化、资源化、无害化”，防止产生二次污染。本项目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生物质成型燃料袋装贮存；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除尘器收集尘、锅炉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渣在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灰渣储存区（库）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采取防尘措施，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企业外售综合利用；废离子交换树脂、废布袋由厂家定期更换回收处理；废生物质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成型燃料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包装袋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暂存于燃料储存区（库），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由厂家回收处理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废机油产生后立即交由有资质单位处置，不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暂存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62064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严格落实环评报告表中的风险防范和应急措施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，定期培训员工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，提高事故风险防范和污染控制能力。</w:t>
      </w:r>
    </w:p>
    <w:p w14:paraId="2E1BC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7.企业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应按照相关要求落实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各项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监测计划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，缸窑镇翌博锅炉房依托现有废气在线监测设施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3CDF7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三、建设项目的环境影响评价文件经批准后，建设项目的性质、规模、地点、采用的生产工艺或者防治污染、防止生态破坏的措施发生重大变动的，建设单位应当重新报批建设项目的环境影响评价文件。建设项目的环境影响评价文件自批准之日起超过五年，方决定该项目开工建设的，其环境影响评价文件应当重新审核。</w:t>
      </w:r>
    </w:p>
    <w:p w14:paraId="29A93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四、有机衔接环境影响评价与排污许可证申领。按照《排污许可管理办法》的要求，项目在启动生产设施或者在实际排污之前，申请并领取排污许可证，要将经批准的环境影响评价文件中各项环境保护措施、污染物排放清单及其他有关内容载入排污许可证，并按证排污。</w:t>
      </w:r>
    </w:p>
    <w:p w14:paraId="4034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五、项目建设要严格执行配套建设的环境保护设施与主体工程同时设计、同时施工、同时投入使用的环境保护“三同时”制度。项目竣工后，建设单位按规定程序进行环保设施竣工验收。验收合格后，项目方可正式投入运行。</w:t>
      </w:r>
    </w:p>
    <w:p w14:paraId="6FFBF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六、由吉林市生态环境保护综合行政执法支队龙潭大队负责按照《建设项目环境保护事中事后监督管理办法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试行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》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环发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〔2015〕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163号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的规定，进行本建设项目事中事后的环境监督管理工作。</w:t>
      </w:r>
    </w:p>
    <w:p w14:paraId="55BB1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21DC1EC">
      <w:pPr>
        <w:pStyle w:val="2"/>
        <w:rPr>
          <w:rFonts w:hint="eastAsia"/>
          <w:lang w:eastAsia="zh-CN"/>
        </w:rPr>
      </w:pPr>
    </w:p>
    <w:p w14:paraId="79392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E993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吉林市生态环境局</w:t>
      </w:r>
    </w:p>
    <w:p w14:paraId="7CE16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cs="仿宋_GB2312"/>
          <w:sz w:val="32"/>
          <w:szCs w:val="32"/>
          <w:lang w:val="en-US" w:eastAsia="zh-CN"/>
        </w:rPr>
        <w:t>1月8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cs="仿宋_GB2312"/>
          <w:sz w:val="32"/>
          <w:szCs w:val="32"/>
          <w:lang w:val="en-US" w:eastAsia="zh-CN"/>
        </w:rPr>
        <w:t xml:space="preserve">        </w:t>
      </w:r>
    </w:p>
    <w:p w14:paraId="72D2943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p w14:paraId="38957064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tbl>
      <w:tblPr>
        <w:tblStyle w:val="17"/>
        <w:tblpPr w:vertAnchor="page" w:horzAnchor="page" w:tblpX="1627" w:tblpY="13927"/>
        <w:tblOverlap w:val="never"/>
        <w:tblW w:w="886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0"/>
        <w:gridCol w:w="4431"/>
      </w:tblGrid>
      <w:tr w14:paraId="6A79271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Header/>
        </w:trPr>
        <w:tc>
          <w:tcPr>
            <w:tcW w:w="8861" w:type="dxa"/>
            <w:gridSpan w:val="2"/>
            <w:shd w:val="clear" w:color="auto" w:fill="auto"/>
          </w:tcPr>
          <w:p w14:paraId="65B21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left="1160" w:leftChars="100" w:hanging="840" w:hangingChars="3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抄送：吉林市生态环境保护综合行政执法支队龙潭大队</w:t>
            </w:r>
          </w:p>
        </w:tc>
      </w:tr>
      <w:tr w14:paraId="06A63D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4430" w:type="dxa"/>
            <w:shd w:val="clear" w:color="auto" w:fill="auto"/>
          </w:tcPr>
          <w:p w14:paraId="0381C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left="0" w:leftChars="0"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吉林市生态环境局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5715</wp:posOffset>
                      </wp:positionV>
                      <wp:extent cx="5622290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229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6pt;margin-top:0.45pt;height:0pt;width:442.7pt;z-index:251660288;mso-width-relative:page;mso-height-relative:page;" filled="f" stroked="t" coordsize="21600,21600" o:gfxdata="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jzS+NAAAAADAQAADwAAAAAA&#10;AAABACAAAAAiAAAAZHJzL2Rvd25yZXYueG1sUEsBAhQAFAAAAAgAh07iQEbxpi3iAQAAsQMAAA4A&#10;AAAAAAAAAQAgAAAAHwEAAGRycy9lMm9Eb2MueG1sUEsFBgAAAAAGAAYAWQEAAHM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431" w:type="dxa"/>
            <w:shd w:val="clear" w:color="auto" w:fill="auto"/>
          </w:tcPr>
          <w:p w14:paraId="5D3683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right="320" w:rightChars="1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2FA14E5A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3695C8A-C6C7-4876-B4F6-3D81CD3DBA4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D85CC07-69C4-4C47-9B29-247BA1C734D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60F05D9-1646-4AEC-8C0B-9AF533E7BA3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081AD2B-B815-45F8-9C53-67B63AC10E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341E7"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12A87F">
                          <w:pPr>
                            <w:pStyle w:val="1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12A87F">
                    <w:pPr>
                      <w:pStyle w:val="1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D80E04"/>
    <w:multiLevelType w:val="singleLevel"/>
    <w:tmpl w:val="6DD80E04"/>
    <w:lvl w:ilvl="0" w:tentative="0">
      <w:start w:val="1"/>
      <w:numFmt w:val="bullet"/>
      <w:pStyle w:val="11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1">
    <w:nsid w:val="73E381FC"/>
    <w:multiLevelType w:val="multilevel"/>
    <w:tmpl w:val="73E381FC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993"/>
        </w:tabs>
        <w:ind w:left="993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993" w:firstLine="0"/>
      </w:pPr>
      <w:rPr>
        <w:rFonts w:hint="eastAsia" w:ascii="仿宋" w:hAnsi="仿宋" w:eastAsia="仿宋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993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1017" w:firstLine="402"/>
      </w:pPr>
      <w:rPr>
        <w:rFonts w:hint="eastAsia" w:ascii="宋体" w:hAnsi="宋体" w:eastAsia="宋体" w:cs="宋体"/>
        <w:lang w:val="en-US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993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993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993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993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993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TIyMzMxMGUyZGRiNjRkMDExZjZjMjcxNWM0YmQifQ=="/>
  </w:docVars>
  <w:rsids>
    <w:rsidRoot w:val="535011CF"/>
    <w:rsid w:val="00312262"/>
    <w:rsid w:val="00C4676C"/>
    <w:rsid w:val="01215C29"/>
    <w:rsid w:val="014E6C98"/>
    <w:rsid w:val="0171089E"/>
    <w:rsid w:val="022A3204"/>
    <w:rsid w:val="0355494F"/>
    <w:rsid w:val="065340AE"/>
    <w:rsid w:val="07120557"/>
    <w:rsid w:val="086F4082"/>
    <w:rsid w:val="08C876F7"/>
    <w:rsid w:val="08EA2658"/>
    <w:rsid w:val="0C095C8A"/>
    <w:rsid w:val="0C7236B3"/>
    <w:rsid w:val="0D4D7D0D"/>
    <w:rsid w:val="0D832131"/>
    <w:rsid w:val="0EC82610"/>
    <w:rsid w:val="0F914A2F"/>
    <w:rsid w:val="0FF26B15"/>
    <w:rsid w:val="10872B54"/>
    <w:rsid w:val="116E69B0"/>
    <w:rsid w:val="11DB525E"/>
    <w:rsid w:val="15D37529"/>
    <w:rsid w:val="160B1746"/>
    <w:rsid w:val="19E90FAC"/>
    <w:rsid w:val="1A4B763E"/>
    <w:rsid w:val="1B3060F2"/>
    <w:rsid w:val="1F196F14"/>
    <w:rsid w:val="22F4413B"/>
    <w:rsid w:val="25334FFC"/>
    <w:rsid w:val="25E3017D"/>
    <w:rsid w:val="2777171F"/>
    <w:rsid w:val="29F17A79"/>
    <w:rsid w:val="2A0256E0"/>
    <w:rsid w:val="2BB44E45"/>
    <w:rsid w:val="2BEF7F49"/>
    <w:rsid w:val="2EE94141"/>
    <w:rsid w:val="320C112F"/>
    <w:rsid w:val="32A94288"/>
    <w:rsid w:val="338A5133"/>
    <w:rsid w:val="3415591A"/>
    <w:rsid w:val="34BD356D"/>
    <w:rsid w:val="380541CD"/>
    <w:rsid w:val="3971572F"/>
    <w:rsid w:val="3B164258"/>
    <w:rsid w:val="3C9E0055"/>
    <w:rsid w:val="3CA604BB"/>
    <w:rsid w:val="3EC15C04"/>
    <w:rsid w:val="47A11AC2"/>
    <w:rsid w:val="47B02837"/>
    <w:rsid w:val="490B35E7"/>
    <w:rsid w:val="49881965"/>
    <w:rsid w:val="4A797DE0"/>
    <w:rsid w:val="4B4734B2"/>
    <w:rsid w:val="4FC43F49"/>
    <w:rsid w:val="514D4569"/>
    <w:rsid w:val="52FA1521"/>
    <w:rsid w:val="535011CF"/>
    <w:rsid w:val="55BD645A"/>
    <w:rsid w:val="56EE7B37"/>
    <w:rsid w:val="574C181D"/>
    <w:rsid w:val="57582925"/>
    <w:rsid w:val="58BD2D25"/>
    <w:rsid w:val="5E1A0B49"/>
    <w:rsid w:val="61DF5D9B"/>
    <w:rsid w:val="644F33ED"/>
    <w:rsid w:val="66095259"/>
    <w:rsid w:val="66783A5F"/>
    <w:rsid w:val="685B4774"/>
    <w:rsid w:val="69A26117"/>
    <w:rsid w:val="6A524E2D"/>
    <w:rsid w:val="6AA904D9"/>
    <w:rsid w:val="6EFB604C"/>
    <w:rsid w:val="70886160"/>
    <w:rsid w:val="710B4386"/>
    <w:rsid w:val="71E3174B"/>
    <w:rsid w:val="73F12BC9"/>
    <w:rsid w:val="74477EFB"/>
    <w:rsid w:val="77E77D4F"/>
    <w:rsid w:val="7C1B42AF"/>
    <w:rsid w:val="7C213AB6"/>
    <w:rsid w:val="7C9F0813"/>
    <w:rsid w:val="7D13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6" w:lineRule="exact"/>
      <w:ind w:firstLine="60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4">
    <w:name w:val="heading 2"/>
    <w:basedOn w:val="1"/>
    <w:next w:val="1"/>
    <w:link w:val="19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2" w:lineRule="auto"/>
      <w:ind w:left="993"/>
      <w:jc w:val="left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3" w:firstLine="400"/>
      <w:outlineLvl w:val="2"/>
    </w:pPr>
    <w:rPr>
      <w:b/>
      <w:sz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6">
    <w:name w:val="Normal Indent"/>
    <w:basedOn w:val="1"/>
    <w:next w:val="7"/>
    <w:qFormat/>
    <w:uiPriority w:val="0"/>
    <w:pPr>
      <w:ind w:firstLine="420"/>
    </w:pPr>
    <w:rPr>
      <w:rFonts w:ascii="宋体" w:hAnsi="宋体"/>
      <w:szCs w:val="20"/>
    </w:rPr>
  </w:style>
  <w:style w:type="paragraph" w:styleId="7">
    <w:name w:val="Body Text First Indent 2"/>
    <w:basedOn w:val="8"/>
    <w:qFormat/>
    <w:uiPriority w:val="0"/>
    <w:pPr>
      <w:spacing w:after="120" w:afterLines="0"/>
      <w:ind w:left="420" w:leftChars="200" w:firstLine="420" w:firstLineChars="200"/>
    </w:pPr>
    <w:rPr>
      <w:rFonts w:ascii="Times New Roman" w:hAnsi="Times New Roman"/>
    </w:rPr>
  </w:style>
  <w:style w:type="paragraph" w:styleId="8">
    <w:name w:val="Body Text Indent"/>
    <w:basedOn w:val="1"/>
    <w:qFormat/>
    <w:uiPriority w:val="0"/>
    <w:pPr>
      <w:spacing w:after="120"/>
      <w:ind w:left="420" w:leftChars="200"/>
    </w:pPr>
  </w:style>
  <w:style w:type="paragraph" w:styleId="9">
    <w:name w:val="annotation text"/>
    <w:basedOn w:val="1"/>
    <w:qFormat/>
    <w:uiPriority w:val="0"/>
    <w:pPr>
      <w:jc w:val="left"/>
    </w:pPr>
  </w:style>
  <w:style w:type="paragraph" w:styleId="10">
    <w:name w:val="Body Text"/>
    <w:basedOn w:val="1"/>
    <w:next w:val="11"/>
    <w:qFormat/>
    <w:uiPriority w:val="0"/>
    <w:rPr>
      <w:sz w:val="28"/>
    </w:rPr>
  </w:style>
  <w:style w:type="paragraph" w:styleId="11">
    <w:name w:val="List Bullet 5"/>
    <w:basedOn w:val="1"/>
    <w:qFormat/>
    <w:uiPriority w:val="0"/>
    <w:pPr>
      <w:numPr>
        <w:ilvl w:val="0"/>
        <w:numId w:val="2"/>
      </w:numPr>
    </w:pPr>
  </w:style>
  <w:style w:type="paragraph" w:styleId="12">
    <w:name w:val="Date"/>
    <w:basedOn w:val="1"/>
    <w:next w:val="1"/>
    <w:qFormat/>
    <w:uiPriority w:val="0"/>
    <w:pPr>
      <w:ind w:leftChars="2500"/>
    </w:pPr>
    <w:rPr>
      <w:rFonts w:eastAsia="仿宋_GB2312"/>
      <w:sz w:val="32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table" w:styleId="17">
    <w:name w:val="Table Grid"/>
    <w:basedOn w:val="16"/>
    <w:qFormat/>
    <w:uiPriority w:val="39"/>
    <w:rPr>
      <w:rFonts w:ascii="Times New Roman" w:hAnsi="Times New Roman" w:eastAsia="宋体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57" w:type="dxa"/>
        <w:bottom w:w="57" w:type="dxa"/>
      </w:tblCellMar>
    </w:tblPr>
    <w:tblStylePr w:type="firstRow">
      <w:tblPr/>
      <w:trPr>
        <w:tblHeader/>
      </w:trPr>
      <w:tcPr>
        <w:shd w:val="clear" w:color="auto" w:fill="D8D8D8" w:themeFill="background1" w:themeFillShade="D9"/>
      </w:tcPr>
    </w:tblStylePr>
  </w:style>
  <w:style w:type="character" w:customStyle="1" w:styleId="19">
    <w:name w:val="标题 2 Char"/>
    <w:link w:val="4"/>
    <w:qFormat/>
    <w:locked/>
    <w:uiPriority w:val="99"/>
    <w:rPr>
      <w:rFonts w:ascii="Arial" w:hAnsi="Arial" w:eastAsia="宋体" w:cs="Times New Roman"/>
      <w:b/>
      <w:bCs/>
      <w:sz w:val="28"/>
      <w:szCs w:val="32"/>
    </w:rPr>
  </w:style>
  <w:style w:type="character" w:customStyle="1" w:styleId="20">
    <w:name w:val="标题 1 Char"/>
    <w:link w:val="3"/>
    <w:qFormat/>
    <w:locked/>
    <w:uiPriority w:val="99"/>
    <w:rPr>
      <w:rFonts w:ascii="Calibri" w:hAnsi="Calibri" w:eastAsia="宋体"/>
      <w:b/>
      <w:kern w:val="44"/>
      <w:sz w:val="44"/>
      <w:szCs w:val="24"/>
      <w:lang w:bidi="ar-SA"/>
    </w:rPr>
  </w:style>
  <w:style w:type="paragraph" w:customStyle="1" w:styleId="21">
    <w:name w:val="Default"/>
    <w:basedOn w:val="1"/>
    <w:qFormat/>
    <w:uiPriority w:val="0"/>
    <w:pPr>
      <w:autoSpaceDE w:val="0"/>
      <w:autoSpaceDN w:val="0"/>
      <w:jc w:val="left"/>
    </w:pPr>
    <w:rPr>
      <w:rFonts w:hint="eastAsia" w:ascii="宋体" w:eastAsia="宋体" w:cs="Times New Roman"/>
      <w:color w:val="000000"/>
      <w:kern w:val="0"/>
      <w:sz w:val="24"/>
    </w:rPr>
  </w:style>
  <w:style w:type="paragraph" w:customStyle="1" w:styleId="22">
    <w:name w:val="曹1.1"/>
    <w:basedOn w:val="1"/>
    <w:qFormat/>
    <w:uiPriority w:val="0"/>
    <w:pPr>
      <w:spacing w:line="360" w:lineRule="auto"/>
    </w:pPr>
    <w:rPr>
      <w:b/>
      <w:sz w:val="24"/>
    </w:rPr>
  </w:style>
  <w:style w:type="paragraph" w:customStyle="1" w:styleId="23">
    <w:name w:val="样式 正文11 + 首行缩进:  2 字符"/>
    <w:basedOn w:val="1"/>
    <w:qFormat/>
    <w:uiPriority w:val="0"/>
    <w:pPr>
      <w:spacing w:line="500" w:lineRule="exact"/>
      <w:ind w:firstLine="560" w:firstLineChars="200"/>
    </w:pPr>
    <w:rPr>
      <w:rFonts w:ascii="宋体" w:hAnsi="宋体" w:cs="宋体"/>
      <w:color w:val="FF0000"/>
      <w:sz w:val="28"/>
      <w:szCs w:val="20"/>
    </w:rPr>
  </w:style>
  <w:style w:type="paragraph" w:customStyle="1" w:styleId="24">
    <w:name w:val="p0"/>
    <w:basedOn w:val="1"/>
    <w:qFormat/>
    <w:uiPriority w:val="0"/>
    <w:pPr>
      <w:widowControl/>
    </w:pPr>
    <w:rPr>
      <w:rFonts w:cs="Times New Roman"/>
      <w:kern w:val="0"/>
      <w:szCs w:val="21"/>
    </w:rPr>
  </w:style>
  <w:style w:type="paragraph" w:customStyle="1" w:styleId="25">
    <w:name w:val="方案正文"/>
    <w:basedOn w:val="1"/>
    <w:qFormat/>
    <w:uiPriority w:val="0"/>
    <w:pPr>
      <w:widowControl/>
      <w:spacing w:line="360" w:lineRule="auto"/>
      <w:ind w:firstLine="200" w:firstLineChars="200"/>
      <w:jc w:val="left"/>
    </w:pPr>
    <w:rPr>
      <w:sz w:val="24"/>
    </w:rPr>
  </w:style>
  <w:style w:type="paragraph" w:customStyle="1" w:styleId="26">
    <w:name w:val="正文小四缩进"/>
    <w:basedOn w:val="6"/>
    <w:qFormat/>
    <w:uiPriority w:val="0"/>
    <w:pPr>
      <w:spacing w:line="360" w:lineRule="auto"/>
      <w:ind w:firstLine="200"/>
    </w:pPr>
    <w:rPr>
      <w:rFonts w:ascii="Times New Roman" w:hAnsi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b9d1283a-717d-4534-aedb-4878b40471bd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B0D868B</paraID>
      <start>239</start>
      <end>240</end>
      <status>modified</status>
      <modifiedWord>，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56f8af-ff16-494c-807d-9acde439f2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3711</Words>
  <Characters>4270</Characters>
  <Lines>0</Lines>
  <Paragraphs>0</Paragraphs>
  <TotalTime>7</TotalTime>
  <ScaleCrop>false</ScaleCrop>
  <LinksUpToDate>false</LinksUpToDate>
  <CharactersWithSpaces>4322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2022-08-19T03:38:00Z</dcterms:created>
  <dc:creator>优印图文1</dc:creator>
  <cp:lastModifiedBy>W琪</cp:lastModifiedBy>
  <cp:lastPrinted>2025-12-31T00:41:00Z</cp:lastPrinted>
  <dcterms:modified xsi:type="dcterms:W3CDTF">2026-01-08T00:29:49Z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4486F42128FF468989906764FB11ADE7</vt:lpwstr>
  </property>
  <property fmtid="{D5CDD505-2E9C-101B-9397-08002B2CF9AE}" pid="4" name="KSOTemplateDocerSaveRecord">
    <vt:lpwstr>eyJoZGlkIjoiMDc5MzViOWI5ODMxNmU1MjFmZjY5NjVlZTE5M2Q2YjUiLCJ1c2VySWQiOiIzNDEzNjc4NTYifQ==</vt:lpwstr>
  </property>
</Properties>
</file>